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Specification: The Foundry Protocol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Recursive IP Capture &amp; Asset Hardening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Agentic Operating Layer (AOL/AgentOS)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Overview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Foundry Protocol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internal mechanism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responsible for the transition of unstructured operational data and emergent technical breakthroughs into formalized, "filing-ready" Intellectual Property (IP). It ensures that every successful actuation cycle at the edge (The Hub) contributes to the appreciating value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Sovereign Asset Transfer (SAT) Manifest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Logic of "Emergent Discovery"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Foundry does not "create" IP; it "captures" it. The protocol monitors the delta between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 Engine (Zo)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predictions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Gateway (Hub)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execution logs.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Trigger Events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Foundry is activated by three specific "Discovery Triggers":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Optimization Breakthrough: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Zo adjusts a Bayesian prior based on a "Resolution Pop" that results in &gt;15% water savings compared to the 20m baseline.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Autonomy 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Hub successfully executes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Contingency 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a low-flow shutdown) during a total backhaul blackout.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Cross-Sector Adaptation: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Query Engine (SQE)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identifies a data correlation (e.g., soil moisture vs. thermal inertia) that is applicable outside of the agricultural sector.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Hardening Pipeline (Step-by-Step)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AgentOS flags a unique successful "Handshake" or "Pop" event.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Raw Execution 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Nomenclature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Foundry maps the event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Standardized Technical Nomenclature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(e.g., "The Pop" -&gt; "Fidelity-on-Demand Provisioning").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Standardized Terminology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Codification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logic is abstracted into a sector-agnostic mathematical formula or flow-chart.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Technical Specification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Vaulting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specification is encrypted and added to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SAT Manifest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with a timestamped hash.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Filing-Ready Asset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SAT Manifest (Sovereign Asset Transfer)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 Manifest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"Vault" where the Foundry stores all hardened assets. This manifest serves as the primary document for: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Patent Filings: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Providing the "Prior Art" and "Reduction to Practice" logs.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Regulatory Audits: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Proving the evolution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QCV (Quantifiable Conservation Validation)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logic.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Enterprise Licensing: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Serving as the "Technical Blueprint" for third-party infrastructure licensees.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Defensive IP Generation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"Fast-Follower" competition, the Foundry automatically generates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Defensive Specifications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Hub detects a specific type of sensor interference in the San Luis Valley, the Foundry documents the "Interference Mitigation Protocol" as a proprietary trade secret, effectively "moating" the geographic region.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Interaction with the "Resolution Pop"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Foundry Protocol treats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 Pop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 "Market Signal."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time a user pays for a "Pop," the Foundry analyzes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20m data was insufficient.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then hardens that "Insufficiency" into a technical requirement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Enterprise Tier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ensuring that the "Pop" remains a scientifically necessary gateway for legal compliance.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Strategic Value: The "Self-Documenting" Company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implementing the Foundry Protocol, Bxthre3 Inc. ensures that its legal and technical documentation scales at the same rate as its field deployments. This reduces the "Innovation-to-Filing" latency, ensuring that by the time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June 29th Water Trial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begins, every "Truth" discovered in the field is already a protected asset in the Vault.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