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Spec: Ghost Cloud (v0.2)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 Name: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Ghost Cloud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Classification: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Bxthre3 Proprietary / Strategic Asset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Orchestrate a high-availability "Virtual AWS" by federating 120+ free-tier SaaS providers into a unified, self-propagating mesh for AgentOS and Irrig8.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System Architecture: The 6-Pillar Uniform Mesh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infrastructure is divided into six functional pillars. To ensure "Hot-Swappable" reliability, every node within a pillar must run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Uniform Environment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(identical Docker/Wasm images).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Pillar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Responsibility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Uniform Env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Target Capacity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1. Edge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Global Routing &amp; Ingress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TypeScript/Edge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(80M req/mo)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2. Persistent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Sentinel &amp; Registry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Docker (Always-On)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(High-Uptime)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3. Ephemeral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Stateless Logic / Workers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Docker (Scale-to-0)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(Burstable)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4.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Spatial/Vector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Postgres/PostGIS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(60GB+ SQL)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5. Message Bus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Node Sync &amp; Task Queues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HTTP/PubSub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(15M msg/mo)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6. Identity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Mesh Encryption &amp; Auth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JWT/Headscale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 Providers (100k MAUs)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Expansion Engine: "The Recruiter"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Ghost Cloud is designed to grow programmatically, finding its own "limbs" across the internet.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Automated Discovery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Scraper: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LLM-augmented crawler that identifies new SaaS providers offering free tiers with Docker support and &gt;512MB RAM.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Identity Provisioning: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generation of *@ghost.bxthree.com emails and programmatic SMS verification bonding via API (Twilio/5Sim).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"Ghost-Sitter" Enrollment (Cyborg-in-the-Loop)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Playwright handles the bulk of the signup flow (form filling, email verification).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Handover: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CAPTCHA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403 challenge is encountered: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script pauses and triggers a notification (Telegram/Discord).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browser window is streamed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Ghost Dashboard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noVNC.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User (Babysitter) solves the challenge manually.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script detects completion, retrieves API keys, and joins the node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Tailscale Mesh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Operational Protocols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Sentinel (Registry &amp; Traffic Scientist)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Map: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Maintains a real-time registry of all 120+ nodes, their Tailscale IPs, and current month-to-date (MTD) usage.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Deterministic Routing: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a node reaches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90% of its free quota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Sentinel automatically re-routes traffic to the next available "Fresh" node in the pillar.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Ghost Sidecar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Every compute node must run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Tailscale Sidecar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encrypted mesh communication.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Nodes must report a "Pulse" (CPU, RAM, Quota Status) every 60s. Failure to report for 180s results in an automatic "Mark as Offline" status in the Registry.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The Void Protocol (Kill Code)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cryptographic "Cyanide Pill" designed to dismantle the unkillable.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The Detonator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Triggered by a 256-bit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Entropy 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(stored in ghost_detonator.py).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Sentinel verifies the SHA-256 signature of the key before broadcasting the VOID signal.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Apoptosis Sequence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Upon receiving a verified VOID command, every node executes: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 Scrub: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Overwrites all local caches and temporary directories with zeros.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Account Deletion: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stored provider API keys to programmatically delete the deployment and the host account.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Mesh Disconnect: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out of Tailscale and self-terminates the container.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Deployment Guidelines for Devs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Network Mode: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 app containers must use network_mode: service:tailscale.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Statelessness: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compute node is permitted to store persistent data locally. All state must be pushed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&amp; Persistence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pillar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Message Bus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Anonymization: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residential proxy rotation for all "Recruiter" signup activities to avoid IP-based ban waves.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INCUBATION ACTIVE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CLASSIFIED / BXTHREE PROPRIETARY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