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Integration &amp; Commissioning Guide: Sovereign Infrastructure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Integration Guide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defines the standardized procedures for onboarding, authenticating, and synchronizing hardware components within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Agentic Operating Layer (AOL)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process ensures that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trust the data lineage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Immutable Resource Provenance (IRP)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that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Computing Gateway (ECG)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securely receive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Execution Manifests (DEM)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Phase 1: Hardware Provisioning (The "Birth" Certificate)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field deployment, every hardware asset must be registered 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Sovereign Asset Transfer (SAT) Manifest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Unique Identifier (UID) Assignment: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Telemetric Endpoint (TE)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Aggregation Node (DAN)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Computing Gateway (ECG)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assigned a cryptographically unique UID at the factory or staging level.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Cryptographic Pairing: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Private/Public key pairs are generated on the device's Secure Element. The Public Key is uploaded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 Data Warehouse (SDW)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while the Private Key never leaves the device hardware.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Metadata Tagging: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Devices are tagged with their specific "Implementation Instance" (e.g., Agricultural, Industrial, or Resource-Specific) to define their default logic profile.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Phase 2: Field Commissioning (The "Handshake")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deployed, the nodes must establish a trusted communication chain.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Endpoint-to-Relay Association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Discovery Mode: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DAN (Relay) is placed in "Active Listen" mode via the AOL mobile interface.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 transmit a "Hello" packet containing their UID and a time-stamped hash.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Binding: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DAN confirms the UID against its authorized list and establishes a local mesh association.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Gateway-to-Inference Engine Authentication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Backhaul Initiation: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ECG establishes a secure cellular or satellite connection.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Mutual TLS (mTLS):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ECG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 a mutual authentication. The Inference Engine verifies the ECG’s "Birth Certificate" before any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transmission is authorized.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 Registration: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ECG transmits its GPS coordinates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 Query Engine (SQE)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finalize its position within the virtual grid.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Phase 3: Operational Synchronization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 authentication, the system enters its active operational state.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Initial Logic Seed: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Inference Engine transmits the first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Execution Manifest (DEM)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the ECG.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Telemetry Heartbeat: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DAN begins aggregating data from TEs and forwarding encrypted clusters to the ECG.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ECG processes the local telemetry against the DEM and begins generating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IRP Ledger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Security and Revocation Protocols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Heartbeat Timeout: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node fails to check in within its defined temporal window, the AOL flags the node as "Compromised/Offline" in the SAT Manifest.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Remote Revocation: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device is physically tampered with, the Inference Engine can revoke its keys, immediately blacklisting its data from being used in any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Quantifiable Conservation Validation (QCV)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reports.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OTA Updates: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Firmware updates are delivered as signed manifests, validated by the ECG before being propagated down to the DAN and TEs.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Audit Readiness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Successful integration concludes with a "System Ready" certificate. This confirms that the data path from the physical sensor to the legal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Proof of Savings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report is fully encrypted, deterministic, and immutable.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