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Strategy: Stakeholder Identification &amp; Mapping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secure the "First 5 Fields" for the June 29th Trial, we must map the intersection of land ownership, water debt, and legal representation.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Identifying the Attorneys (The Gatekeepers)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"Notice of Evidence Availability" should be sent to the lead counsels managing the Subdistrict 1 Adaptive Management Plan (AMP) litigation.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 Record Search: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Colorado Water Court (Division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filings. Look specifically for the "Case Management Order" related to the 2026 Subdistrict 1 Trial.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Firms to Look For: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Subdistrict Counsel: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Often David Robbins (Hill &amp; Robbins) or similar specialized water firms in Denver/Alamosa.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Objector Counsel: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the attorneys representing the "Sustainable Water Users" or individual large-scale ditch companies who are challenging the current management plan.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provide the attorneys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 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is the only evidence that moves their arguments from "expert opinion" to "deterministic fact."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Identifying the Farmers (The Early Adopters)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need farmers with high "Water Debt" (those paying the highest per-acre-foot over-pumping fees).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"Quota List":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Rio Grande Water Conservation District (RGWCD)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public database. Look for operations with: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pumping volumes (&gt;1,000 acre-feet/year).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Recent history of "Over-pumping" fees.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Proximity to the "Confined Aquifer" sensitive zones.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"Mud" Intelligence: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interaction 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Monte Vista Co-op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Potato Administrative Committee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the valley, 80% of the water is controlled by 20% of the families.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"Discovery" Ledger (Internal Data Collection)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CRM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Foundry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track: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APN (Assessor Parcel Number):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Cross-referenced with 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SDW (Librarian)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satellite data.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Legal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this farmer currently an "Objector" or a "Supporter" of the plan?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Readiness: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farm have a center-pivot with an existing Modbus/GPIO interface for the Hub?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Immediate Outreach Action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Request the "Service List" for Case No. [Current Water Case Number] from the Division 3 Water Clerk. This contains the email/address of every attorney involved.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mail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Notice of Evidence 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specifically to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Technical Experts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hired by these firms. Engineers listen to Zo (The Scientist) more than attorneys 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