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Strategy: Approaching the State (DWR &amp; SEO)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win with the State of Colorado, Bxthre3 must be positioned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Utility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makes the State Engineer's job easier, not harder.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Target Agencies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DWR (Division of Water Resources):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"Regulators."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 (State Engineer's Office):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"Enforcers."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CWCB (Colorado Water Conservation Board):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"Funders."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"Non-Threatening" Position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State is often wary of private data. We must approach them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"Open Ledger, Private Logic"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Message: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"We aren't here to challenge your models; we are here to provide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Ground 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confirms your conservation goals are being met."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Utility: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 the DWR a "State Auditor" view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don't see the farmer's proprietary "Zo" logic, but they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 a cryptographically signed confirmation that "X acre-feet were saved on Parcel Y."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"SB-23" or Grant Funding Hook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Colorado frequently releases funds for "Water Speculation Prevention" and "Measurement Accuracy."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Proposal: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Request a meeting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Division 3 Engineer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demonstrate how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prevents "unauthorized takes" during administrative shutdowns.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Pilot: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 a "State-Sanctioned Validation Study" where Bxthre3 hardware is used to verify the accuracy of the State's existing telemetry.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Regulatory "Standard-Setting"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goal is to get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 (Quantifiable Conservation Validation)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listed as an "Approved Method of Measurement" in the State Engineer's Rules.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the June 29th Judge accepts Bxthre3 data as evidence, we immediately file a "Petition for Rulemaking" to have 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recognized as a standard for all future groundwater reporting in the Rio Grande Basin.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Summary: From "Company" to "Infrastructure"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State adopts 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Standardized Technical Nomenclature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calling it "Immutable Resource Provenance"), we have effectively won. We become the "Trusted Third Party" between the Farmer and the State.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