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jyzcj19p0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1. Interface / Maquette (UX simple et efficace)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z6e57kq5x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Écrans principaux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lcrsr1um0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Page d’accueil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Présentation claire 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“Trouvez un freelance rapidement”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“Travaillez à distance en toute sécurité”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Boutons 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👉 Publier une mission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👉 Trouver un travail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2koa94gdy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Inscription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Choix 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Freelance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Infos 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Téléphone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 de passe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Vérification OTP (SMS)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z1mh708an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Dashboard client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Bouton </w:t>
      </w:r>
      <w:r w:rsidDel="00000000" w:rsidR="00000000" w:rsidRPr="00000000">
        <w:rPr>
          <w:b w:val="1"/>
          <w:bCs w:val="1"/>
          <w:rtl w:val="0"/>
        </w:rPr>
        <w:t xml:space="preserve">“Publier une mission”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des offres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Candidatures reçues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des paiements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474kgenlw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Dashboard freelance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Offres disponibles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Candidatures envoyées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Projets en cours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4mtebsqim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Page “Publier une mission”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Compétences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fichiers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ldk4mb7q5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Candidature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 / portfolio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Proposition de prix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99tcy9f71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Messagerie intégrée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 client ↔ freelance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Partage fichiers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tqia3qbck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Paiement (clé du succès)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Affichage 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Montant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Commission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Bouton 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“Payer et démarrer”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m89lkdmfyr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Notation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 sur 5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Commentaire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