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Roboto" w:hAnsi="Roboto"/>
          <w:b/>
          <w:color w:val="1F497D"/>
          <w:sz w:val="36"/>
        </w:rPr>
        <w:t>Documento 2: Presentación de Diapositivas - Transformación Digital TechCorp</w:t>
      </w:r>
    </w:p>
    <w:p>
      <w:pPr>
        <w:spacing w:line="360" w:lineRule="auto" w:after="80"/>
        <w:jc w:val="both"/>
      </w:pPr>
      <w:r>
        <w:t>Prueba Evaluada: Narrativa de Datos para la Transformación Digital</w:t>
      </w:r>
    </w:p>
    <w:p>
      <w:pPr>
        <w:spacing w:line="360" w:lineRule="auto" w:after="80"/>
        <w:jc w:val="both"/>
      </w:pPr>
      <w:r>
        <w:t>Formato: Diapositivas Ejecutivas (5-7 Slides) con Principios de Visualización y Gestalt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💻 Diapositiva 1: Portada</w:t>
      </w:r>
    </w:p>
    <w:p>
      <w:pPr>
        <w:pStyle w:val="ListBullet"/>
        <w:spacing w:after="40" w:line="360" w:lineRule="auto"/>
      </w:pPr>
      <w:r>
        <w:t>Título Principal: Transformación Digital TechCorp: 18 Meses de Impacto y el Desafío del Talento</w:t>
      </w:r>
    </w:p>
    <w:p>
      <w:pPr>
        <w:pStyle w:val="ListBullet"/>
        <w:spacing w:after="40" w:line="360" w:lineRule="auto"/>
      </w:pPr>
      <w:r>
        <w:t>Subtítulo: Balance de Resultados Operativos, ROI Financiero y Hoja de Ruta Estratégica</w:t>
      </w:r>
    </w:p>
    <w:p>
      <w:pPr>
        <w:pStyle w:val="ListBullet"/>
        <w:spacing w:after="40" w:line="360" w:lineRule="auto"/>
      </w:pPr>
      <w:r>
        <w:t>Presentado a: CEO y Comité Ejecutivo</w:t>
      </w:r>
    </w:p>
    <w:p>
      <w:pPr>
        <w:pStyle w:val="ListBullet"/>
        <w:spacing w:after="40" w:line="360" w:lineRule="auto"/>
      </w:pPr>
      <w:r>
        <w:t>Ancla Visual: Logotipo institucional de TechCorp con indicador destacado: `ROI Transformación: +8.0%`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💻 Diapositiva 2: El Éxito Tecnológico - Productividad y Calidad en Ascenso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Visualización 1: Evolución Temporal de Productividad (%) vs Tasa de Defectos (%)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Productividad (%)  : 72% [---&gt; 75% ---&gt; 79% ---&gt; 82% ---&gt;] 85.0% 🟢 (+13.0%)</w:t>
        <w:br/>
        <w:t>Tasa Defectos (%)  : 4.2% [=======&gt; 3.1% =======&gt; 2.2% =&gt;]  1.8% 🟢 (-2.4%)</w:t>
        <w:br/>
        <w:t xml:space="preserve">                  (Mes 1)     (Mes 6)    (Mes 12)   (Mes 18)</w:t>
      </w:r>
    </w:p>
    <w:p>
      <w:pPr>
        <w:pStyle w:val="ListBullet"/>
        <w:spacing w:after="40" w:line="360" w:lineRule="auto"/>
      </w:pPr>
      <w:r>
        <w:t>Principios de Visualización Aplicados:</w:t>
      </w:r>
    </w:p>
    <w:p>
      <w:pPr>
        <w:pStyle w:val="ListBullet"/>
        <w:spacing w:after="40" w:line="360" w:lineRule="auto"/>
      </w:pPr>
      <w:r>
        <w:t>Foco Claro: Uso de color verde corporativo para resaltar el crecimiento continuo de la productividad.</w:t>
      </w:r>
    </w:p>
    <w:p>
      <w:pPr>
        <w:pStyle w:val="ListBullet"/>
        <w:spacing w:after="40" w:line="360" w:lineRule="auto"/>
      </w:pPr>
      <w:r>
        <w:t>Línea de Tendencia Limpia: Eliminación de cuadrículas pesadas e integración de etiquetas de datos directas.</w:t>
      </w:r>
    </w:p>
    <w:p>
      <w:pPr>
        <w:pStyle w:val="ListBullet"/>
        <w:spacing w:after="40" w:line="360" w:lineRule="auto"/>
      </w:pPr>
      <w:r>
        <w:t>Principios Gestalt Aplicados:</w:t>
      </w:r>
    </w:p>
    <w:p>
      <w:pPr>
        <w:pStyle w:val="ListBullet"/>
        <w:spacing w:after="40" w:line="360" w:lineRule="auto"/>
      </w:pPr>
      <w:r>
        <w:t>Continuidad: La trayectoria de las dos líneas paralelas permite al ojo seguir la convergencia (sube eficiencia, baja error).</w:t>
      </w:r>
    </w:p>
    <w:p>
      <w:pPr>
        <w:pStyle w:val="ListBullet"/>
        <w:spacing w:after="40" w:line="360" w:lineRule="auto"/>
      </w:pPr>
      <w:r>
        <w:t>Contraste / Figura-Fondo: Fondo neutro con énfasis cromático en los hitos del Mes 1 y Mes 18.</w:t>
      </w:r>
    </w:p>
    <w:p>
      <w:pPr>
        <w:pStyle w:val="ListBullet"/>
        <w:spacing w:after="40" w:line="360" w:lineRule="auto"/>
      </w:pPr>
      <w:r>
        <w:t>Insight de Soporte: La digitalización del 72% de los procesos incrementó la productividad manufacturera al 85% y redujo los defectos a un mínimo histórico del 1.8%.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💻 Diapositiva 3: El Impacto Financiero - De Inversión a Retorno Positivo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Visualización 2: Ahorro por Eficiencia (\$M USD) vs ROI de Transformación (%)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Ahorro Mensual ($M): $0.0M -&gt; $0.5M -&gt; $1.2M -&gt; $1.9M/mes 🟢</w:t>
        <w:br/>
        <w:t>ROI Acumulado (%)  : -15%  -&gt; -8.5% -&gt; +2.1% -&gt; +8.0% 🟢</w:t>
        <w:br/>
        <w:t xml:space="preserve">                   (Mes 1)   (Mes 6)  (Mes 12)  (Mes 18)</w:t>
      </w:r>
    </w:p>
    <w:p>
      <w:pPr>
        <w:pStyle w:val="ListBullet"/>
        <w:spacing w:after="40" w:line="360" w:lineRule="auto"/>
      </w:pPr>
      <w:r>
        <w:t>Principios de Visualización Aplicados:</w:t>
      </w:r>
    </w:p>
    <w:p>
      <w:pPr>
        <w:pStyle w:val="ListBullet"/>
        <w:spacing w:after="40" w:line="360" w:lineRule="auto"/>
      </w:pPr>
      <w:r>
        <w:t>Reducción de Ruido Visual: Eje vertical simplificado con formato directo en Millones de USD.</w:t>
      </w:r>
    </w:p>
    <w:p>
      <w:pPr>
        <w:pStyle w:val="ListBullet"/>
        <w:spacing w:after="40" w:line="360" w:lineRule="auto"/>
      </w:pPr>
      <w:r>
        <w:t>Comparación de Referencia: Línea horizontal de breakeven (ROI = 0%) para marcar el punto de inflexión alcanzado en el Mes 11.</w:t>
      </w:r>
    </w:p>
    <w:p>
      <w:pPr>
        <w:pStyle w:val="ListBullet"/>
        <w:spacing w:after="40" w:line="360" w:lineRule="auto"/>
      </w:pPr>
      <w:r>
        <w:t>Principios Gestalt Aplicados:</w:t>
      </w:r>
    </w:p>
    <w:p>
      <w:pPr>
        <w:pStyle w:val="ListBullet"/>
        <w:spacing w:after="40" w:line="360" w:lineRule="auto"/>
      </w:pPr>
      <w:r>
        <w:t>Semejanza: Colores coordinados entre las barras de ahorro y la tarjeta ejecutiva de retorno.</w:t>
      </w:r>
    </w:p>
    <w:p>
      <w:pPr>
        <w:pStyle w:val="ListBullet"/>
        <w:spacing w:after="40" w:line="360" w:lineRule="auto"/>
      </w:pPr>
      <w:r>
        <w:t>Insight de Soporte: Alcanzamos un ahorro operativo de \$1.9M/mes, logrando rentabilizar la inversión inicial con un ROI del +8.0%.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💻 Diapositiva 4: La Tensión Oculta - Sobrecarga Operativa y Fuga de Talento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Visualización 3: Horas Extra Promedio (h/semana) vs Rotación de Personal (%)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Horas Extra (h/sem):  5.0h [====&gt; 7.2h ====&gt; 9.5h ====&gt;] 12.0h/sem 🔴 (+140%)</w:t>
        <w:br/>
        <w:t>Rotación Personal %:  8.0% [====&gt; 9.8% ====&gt; 12.1% ===&gt;] 15.0%     🔴 (+87.5%)</w:t>
        <w:br/>
        <w:t xml:space="preserve">                    (Mes 1)    (Mes 6)   (Mes 12)   (Mes 18)</w:t>
      </w:r>
    </w:p>
    <w:p>
      <w:pPr>
        <w:pStyle w:val="ListBullet"/>
        <w:spacing w:after="40" w:line="360" w:lineRule="auto"/>
      </w:pPr>
      <w:r>
        <w:t>Principios de Visualización Aplicados:</w:t>
      </w:r>
    </w:p>
    <w:p>
      <w:pPr>
        <w:pStyle w:val="ListBullet"/>
        <w:spacing w:after="40" w:line="360" w:lineRule="auto"/>
      </w:pPr>
      <w:r>
        <w:t>Alerta Cromática: Uso explícito de Rojo Alerta `#E53E3E` para señalar la zona de riesgo en horas extra (&gt; 8h/semana).</w:t>
      </w:r>
    </w:p>
    <w:p>
      <w:pPr>
        <w:pStyle w:val="ListBullet"/>
        <w:spacing w:after="40" w:line="360" w:lineRule="auto"/>
      </w:pPr>
      <w:r>
        <w:t>Escala Proporcional: Eje dual ajustado para evidenciar el comportamiento idéntico entre sobrecarga y renuncia.</w:t>
      </w:r>
    </w:p>
    <w:p>
      <w:pPr>
        <w:pStyle w:val="ListBullet"/>
        <w:spacing w:after="40" w:line="360" w:lineRule="auto"/>
      </w:pPr>
      <w:r>
        <w:t>Principios Gestalt Aplicados:</w:t>
      </w:r>
    </w:p>
    <w:p>
      <w:pPr>
        <w:pStyle w:val="ListBullet"/>
        <w:spacing w:after="40" w:line="360" w:lineRule="auto"/>
      </w:pPr>
      <w:r>
        <w:t>Proximidad: Gráficos de horas extra y rotación colocados lado a lado para sugerir la relación directa causa-efecto.</w:t>
      </w:r>
    </w:p>
    <w:p>
      <w:pPr>
        <w:pStyle w:val="ListBullet"/>
        <w:spacing w:after="40" w:line="360" w:lineRule="auto"/>
      </w:pPr>
      <w:r>
        <w:t>Semejanza de Forma: Uso de marcadores de alerta idénticos en los picos críticos.</w:t>
      </w:r>
    </w:p>
    <w:p>
      <w:pPr>
        <w:pStyle w:val="ListBullet"/>
        <w:spacing w:after="40" w:line="360" w:lineRule="auto"/>
      </w:pPr>
      <w:r>
        <w:t>Insight de Soporte: El promedio de horas extra se disparó de 5 a 12 horas semanales, lo que empujó la rotación voluntaria de personal al 15%.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💻 Diapositiva 5: El Cuello de Botella - Vacantes Tech y Resistencia Operativa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Visualización 4: Vacantes Tech Sin Cubrir (Puestos) vs Score de Resistencia al Cambio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Vacantes Tech Sin Cubrir :  2 puestos  =======&gt; 18 puestos 🔴 (+800%)</w:t>
        <w:br/>
        <w:t>Resistencia al Cambio    :  7.5 (Mes 1) =======&gt;  4.2 (Mes 18) 🟢 (-44%)</w:t>
      </w:r>
    </w:p>
    <w:p>
      <w:pPr>
        <w:pStyle w:val="ListBullet"/>
        <w:spacing w:after="40" w:line="360" w:lineRule="auto"/>
      </w:pPr>
      <w:r>
        <w:t>Principios de Visualización Aplicados:</w:t>
      </w:r>
    </w:p>
    <w:p>
      <w:pPr>
        <w:pStyle w:val="ListBullet"/>
        <w:spacing w:after="40" w:line="360" w:lineRule="auto"/>
      </w:pPr>
      <w:r>
        <w:t>Enfoque Explicativo: Destacar la contradicción entre la buena disposición cultural (baja resistencia) y la falta de capacidad técnica para ejecutar (altas vacantes).</w:t>
      </w:r>
    </w:p>
    <w:p>
      <w:pPr>
        <w:pStyle w:val="ListBullet"/>
        <w:spacing w:after="40" w:line="360" w:lineRule="auto"/>
      </w:pPr>
      <w:r>
        <w:t>Principios Gestalt Aplicados:</w:t>
      </w:r>
    </w:p>
    <w:p>
      <w:pPr>
        <w:pStyle w:val="ListBullet"/>
        <w:spacing w:after="40" w:line="360" w:lineRule="auto"/>
      </w:pPr>
      <w:r>
        <w:t>Cierre / Región Común: Enmarcado visual gris claro unificando las métricas de gestión de personas.</w:t>
      </w:r>
    </w:p>
    <w:p>
      <w:pPr>
        <w:pStyle w:val="ListBullet"/>
        <w:spacing w:after="40" w:line="360" w:lineRule="auto"/>
      </w:pPr>
      <w:r>
        <w:t>Insight de Soporte: Contamos con 18 vacantes tecnológicas críticas sin cubrir. El personal actual quiere usar la tecnología (resistencia cayó a 4.2), pero la falta de manos genera frustración y cuellos de botella.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💻 Diapositiva 6: Síntesis Narrativa y Hoja de Ruta Estratégica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Matriz de Decisiones Estratégicas para el CEO: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Pilar Estratégico</w:t>
            </w:r>
          </w:p>
        </w:tc>
        <w:tc>
          <w:tcPr>
            <w:tcW w:type="dxa" w:w="234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Diagnóstico Basado en Datos</w:t>
            </w:r>
          </w:p>
        </w:tc>
        <w:tc>
          <w:tcPr>
            <w:tcW w:type="dxa" w:w="234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Acción Recomendada</w:t>
            </w:r>
          </w:p>
        </w:tc>
        <w:tc>
          <w:tcPr>
            <w:tcW w:type="dxa" w:w="234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Impacto Esperado</w:t>
            </w:r>
          </w:p>
        </w:tc>
      </w:tr>
      <w:tr>
        <w:tc>
          <w:tcPr>
            <w:tcW w:type="dxa" w:w="2340"/>
            <w:shd w:fill="FFFFFF"/>
          </w:tcPr>
          <w:p>
            <w:r>
              <w:t>**1. Retención de Talento**</w:t>
            </w:r>
          </w:p>
        </w:tc>
        <w:tc>
          <w:tcPr>
            <w:tcW w:type="dxa" w:w="2340"/>
            <w:shd w:fill="FFFFFF"/>
          </w:tcPr>
          <w:p>
            <w:r>
              <w:t>Horas extra en 12h/semana impulsan rotación al 15%.</w:t>
            </w:r>
          </w:p>
        </w:tc>
        <w:tc>
          <w:tcPr>
            <w:tcW w:type="dxa" w:w="2340"/>
            <w:shd w:fill="FFFFFF"/>
          </w:tcPr>
          <w:p>
            <w:r>
              <w:t>Asignar **\$300k USD** del ahorro mensual para plan de nivelación salarial y bonos de permanencia tech.</w:t>
            </w:r>
          </w:p>
        </w:tc>
        <w:tc>
          <w:tcPr>
            <w:tcW w:type="dxa" w:w="2340"/>
            <w:shd w:fill="FFFFFF"/>
          </w:tcPr>
          <w:p>
            <w:r>
              <w:t>Reducir rotación al &lt; 9% en 6 meses.</w:t>
            </w:r>
          </w:p>
        </w:tc>
      </w:tr>
      <w:tr>
        <w:tc>
          <w:tcPr>
            <w:tcW w:type="dxa" w:w="2340"/>
            <w:shd w:fill="FFFFFF"/>
          </w:tcPr>
          <w:p>
            <w:r>
              <w:t>**2. Cobertura de Vacantes**</w:t>
            </w:r>
          </w:p>
        </w:tc>
        <w:tc>
          <w:tcPr>
            <w:tcW w:type="dxa" w:w="2340"/>
            <w:shd w:fill="FFFFFF"/>
          </w:tcPr>
          <w:p>
            <w:r>
              <w:t>18 vacantes tech bloquean nuevos desarrollos.</w:t>
            </w:r>
          </w:p>
        </w:tc>
        <w:tc>
          <w:tcPr>
            <w:tcW w:type="dxa" w:w="2340"/>
            <w:shd w:fill="FFFFFF"/>
          </w:tcPr>
          <w:p>
            <w:r>
              <w:t>Contratación de célula especializada externa (*Staff Augmentation*) para cubrir 10 vacantes clave en 60 días.</w:t>
            </w:r>
          </w:p>
        </w:tc>
        <w:tc>
          <w:tcPr>
            <w:tcW w:type="dxa" w:w="2340"/>
            <w:shd w:fill="FFFFFF"/>
          </w:tcPr>
          <w:p>
            <w:r>
              <w:t>Disminuir horas extra a &lt; 6h/semana.</w:t>
            </w:r>
          </w:p>
        </w:tc>
      </w:tr>
      <w:tr>
        <w:tc>
          <w:tcPr>
            <w:tcW w:type="dxa" w:w="2340"/>
            <w:shd w:fill="FFFFFF"/>
          </w:tcPr>
          <w:p>
            <w:r>
              <w:t>**3. Sostenibilidad del ROI**</w:t>
            </w:r>
          </w:p>
        </w:tc>
        <w:tc>
          <w:tcPr>
            <w:tcW w:type="dxa" w:w="2340"/>
            <w:shd w:fill="FFFFFF"/>
          </w:tcPr>
          <w:p>
            <w:r>
              <w:t>ROI actual del +8% en riesgo de estancamiento.</w:t>
            </w:r>
          </w:p>
        </w:tc>
        <w:tc>
          <w:tcPr>
            <w:tcW w:type="dxa" w:w="2340"/>
            <w:shd w:fill="FFFFFF"/>
          </w:tcPr>
          <w:p>
            <w:r>
              <w:t>Reinvertir el 25% de los **\$1.9M USD/mes** de ahorro en capacitación avanzada y automatización.</w:t>
            </w:r>
          </w:p>
        </w:tc>
        <w:tc>
          <w:tcPr>
            <w:tcW w:type="dxa" w:w="2340"/>
            <w:shd w:fill="FFFFFF"/>
          </w:tcPr>
          <w:p>
            <w:r>
              <w:t>Proyectar ROI del +15% para el Mes 24.</w:t>
            </w:r>
          </w:p>
        </w:tc>
      </w:tr>
    </w:tbl>
    <w:p/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Resumen de los 5 Principios de Visualización Aplicados:</w:t>
      </w:r>
    </w:p>
    <w:p>
      <w:pPr>
        <w:spacing w:line="360" w:lineRule="auto" w:after="80"/>
        <w:jc w:val="both"/>
      </w:pPr>
      <w:r>
        <w:t>1. Punto Principal Claro: Cada gráfico transmite una sola idea ejecutiva sin ambigüedad.</w:t>
      </w:r>
    </w:p>
    <w:p>
      <w:pPr>
        <w:spacing w:line="360" w:lineRule="auto" w:after="80"/>
        <w:jc w:val="both"/>
      </w:pPr>
      <w:r>
        <w:t>2. Fundamento en Datos: Toda cifra proviene directamente de la serie temporal de 18 meses de TechCorp.</w:t>
      </w:r>
    </w:p>
    <w:p>
      <w:pPr>
        <w:spacing w:line="360" w:lineRule="auto" w:after="80"/>
        <w:jc w:val="both"/>
      </w:pPr>
      <w:r>
        <w:t>3. Foco Explicativo: Eliminación de elementos decorativos para destacar únicamente los datos críticos con color estratégico.</w:t>
      </w:r>
    </w:p>
    <w:p>
      <w:pPr>
        <w:spacing w:line="360" w:lineRule="auto" w:after="80"/>
        <w:jc w:val="both"/>
      </w:pPr>
      <w:r>
        <w:t>4. Linealidad Causal: El orden de diapositivas lleva al CEO de los Logros Operativos -&gt; Ahorros -&gt; Riesgos de Personal -&gt; Solución.</w:t>
      </w:r>
    </w:p>
    <w:p>
      <w:pPr>
        <w:spacing w:line="360" w:lineRule="auto" w:after="80"/>
        <w:jc w:val="both"/>
      </w:pPr>
      <w:r>
        <w:t>5. Anclas Visuales: Tarjetas KPI de resumen al inicio de cada diapositiva.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