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Documento 3: Storyboard Ejecutivo y Script de Presentación</w:t>
      </w:r>
    </w:p>
    <w:p>
      <w:pPr>
        <w:spacing w:line="360" w:lineRule="auto" w:after="80"/>
        <w:jc w:val="both"/>
      </w:pPr>
      <w:r>
        <w:t>Prueba Evaluada: Narrativa de Datos para la Transformación Digital</w:t>
      </w:r>
    </w:p>
    <w:p>
      <w:pPr>
        <w:spacing w:line="360" w:lineRule="auto" w:after="80"/>
        <w:jc w:val="both"/>
      </w:pPr>
      <w:r>
        <w:t>Caso: TechCorp (Presentación de 3 Minutos para el CEO)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Parte 1: Storyboard Visual (8 Cuadros Explicativos)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+------------------------------------------+  +------------------------------------------+</w:t>
        <w:br/>
        <w:t>| CUADRO 1: El Punto de Inflexión          |  | CUADRO 2: La Victoria Tecnológica        |</w:t>
        <w:br/>
        <w:t>| Visual: Logotipo TechCorp + Tarjeta ROI  |  | Visual: Gráfico de Líneas Ascendente     |</w:t>
        <w:br/>
        <w:t>| Texto: "18 Meses: De ineficiencia a un   |  | Texto: "Productividad subió de 72% a 85%|</w:t>
        <w:br/>
        <w:t>| ROI positivo del +8.0%."                 |  | y defectos cayeron a 1.8%."              |</w:t>
        <w:br/>
        <w:t>+------------------------------------------+  +------------------------------------------+</w:t>
        <w:br/>
        <w:br/>
        <w:t>+------------------------------------------+  +------------------------------------------+</w:t>
        <w:br/>
        <w:t>| CUADRO 3: La Caja Registradora           |  | CUADRO 4: El Muro de Carga (Tensión)     |</w:t>
        <w:br/>
        <w:t>| Visual: Gráfico de Barras de Ahorro      |  | Visual: Gráfico de Horas Extra en Rojo   |</w:t>
        <w:br/>
        <w:t>| Texto: "Ahorro recurrente alcanzado:     |  | Texto: "Horas extra subieron a 12h/sem,  |</w:t>
        <w:br/>
        <w:t>| $1.9 Millones USD mensuales."            |  | desgastando al equipo operativo."        |</w:t>
        <w:br/>
        <w:t>+------------------------------------------+  +------------------------------------------+</w:t>
        <w:br/>
        <w:br/>
        <w:t>+------------------------------------------+  +------------------------------------------+</w:t>
        <w:br/>
        <w:t>| CUADRO 5: La Fuga de Talento             |  | CUADRO 6: El Cuello de Botella           |</w:t>
        <w:br/>
        <w:t>| Visual: Diagrama de Rotación de Personal |  | Visual: Indicador de Vacantes No Cubiertas|</w:t>
        <w:br/>
        <w:t>| Texto: "La rotación de personal escaló   |  | Texto: "18 vacantes tech sin cubrir      |</w:t>
        <w:br/>
        <w:t>| al 15% por sobrecarga laboral."          |  | amenazan con frenar los proyectos."      |</w:t>
        <w:br/>
        <w:t>+------------------------------------------+  +------------------------------------------+</w:t>
        <w:br/>
        <w:br/>
        <w:t>+------------------------------------------+  +------------------------------------------+</w:t>
        <w:br/>
        <w:t>| CUADRO 7: La Solución Autofinanciada     |  | CUADRO 8: El Compromiso de Futuro        |</w:t>
        <w:br/>
        <w:t>| Visual: Diagrama de Reasignación de Ahorro| | Visual: Hoja de Ruta Mes 18-24           |</w:t>
        <w:br/>
        <w:t>| Texto: "Reinvertir $300k/mes del ahorro  |  | Texto: "Asegurar un ROI del 15% para     |</w:t>
        <w:br/>
        <w:t>| en retención y contratación tech."       |  | el próximo año con talento estabilizado."|</w:t>
        <w:br/>
        <w:t>+------------------------------------------+  +------------------------------------------+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Parte 2: Script de Presentación Oral (485 Palabras - Lectura: 2:45 min)</w:t>
      </w:r>
    </w:p>
    <w:p>
      <w:pPr>
        <w:shd w:fill="EDF2F7"/>
        <w:spacing w:after="80"/>
        <w:ind w:left="576"/>
      </w:pPr>
      <w:r>
        <w:rPr>
          <w:i/>
          <w:color w:val="4A5568"/>
        </w:rPr>
        <w:t>"Estimado CEO y miembros del Comité Ejecutivo: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Hace 18 meses asumimos el compromiso de transformar digitalmente a TechCorp. Hoy me presento ante ustedes con cifras concisas y transparentes que confirman que nuestra estrategia tecnológica funciona y es altamente rentable.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Los números operacionales son contundentes: la digitalización del 72% de nuestros procesos elevó la productividad manufacturera del 72% al 85%, mientras que la tasa de defectos en planta cayó a un mínimo histórico del 1.8%. Esto se tradujo directamente en la satisfacción de nuestros clientes, llevando el NPS de 42 a 68 puntos.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En el frente financiero, dejamos atrás las pérdidas iniciales del proyecto para alcanzar un ROI acumulado positivo del +8.0%, generando un ahorro recurrente por eficiencias de \$1.9 Millones de dólares mensuales.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Sin embargo, la honestidad analítica exige mirar el panorama completo. Detrás de estos excelentes indicadores tecnológicos, los datos revelan un cuello de botella humano insostenible.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Para sostener este ritmo de producción, las horas extra promedio se dispararon de 5 a 12 horas semanales por empleado (un incremento del 140%). Esta sobrecarga continua empujó la rotación de personal de un 8% a un preocupante 15%. Simultáneamente, acumulamos 18 vacantes tecnológicas críticas sin cubrir, lo que está sobrecargando a nuestros equipos actuales.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Los datos demuestran que el personal no se resiste al cambio —el score de resistencia cayó a 4.2—; el equipo quiere usar la tecnología, pero está exhausto y carece de brazos suficientes.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La pregunta estratégica hoy no es si la transformación digital funciona, sino cómo evitamos que el colapso del talento humano frene las ganancias logradas.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Por ello, propongo una Acción Concreta e Inmediata autofinanciada: reinvertir el 15% del ahorro mensual que nosotros mismos hemos generado —es decir, \$300,000 USD mensuales— para ejecutar tres medidas clave: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1. Implementar un Plan de Nivelación y Retención Salarial para nuestros especialistas clave, frenando de inmediato la fuga de talento.</w:t>
      </w:r>
    </w:p>
    <w:p>
      <w:pPr>
        <w:shd w:fill="EDF2F7"/>
        <w:spacing w:after="80"/>
        <w:ind w:left="576"/>
      </w:pPr>
      <w:r>
        <w:rPr>
          <w:i/>
          <w:color w:val="4A5568"/>
        </w:rPr>
        <w:t>2. Contratar una célula especializada externa de apoyo para cubrir las 18 vacantes en los próximos 60 días y reducir las horas extra a menos de 6 horas semanales.</w:t>
      </w:r>
    </w:p>
    <w:p>
      <w:pPr>
        <w:shd w:fill="EDF2F7"/>
        <w:spacing w:after="80"/>
        <w:ind w:left="576"/>
      </w:pPr>
      <w:r>
        <w:rPr>
          <w:i/>
          <w:color w:val="4A5568"/>
        </w:rPr>
        <w:t>3. Automatizar las tareas repetitivas de soporte técnico que hoy consumen tiempo valioso de nuestro personal.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Con esta decisión, no solo estabilizaremos la operación, sino que proyectaremos un incremento del ROI al +15% para el Mes 24, garantizando que la transformación digital de TechCorp sea humana, sostenible y rentablemente imparable.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Muchas gracias."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Parte 3: Propuesta de Acción Concreta e Impulso al Cambio Organizacional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Propuesta de Acción Basada en Insights</w:t>
      </w:r>
    </w:p>
    <w:p>
      <w:pPr>
        <w:pStyle w:val="ListBullet"/>
        <w:spacing w:after="40" w:line="360" w:lineRule="auto"/>
      </w:pPr>
      <w:r>
        <w:t>Inversión Dirigida: \$300,000 USD mensuales extraídos de la bolsa de ahorro por eficiencia de \$1.9M USD/mes (sin requerir presupuesto adicional).</w:t>
      </w:r>
    </w:p>
    <w:p>
      <w:pPr>
        <w:pStyle w:val="ListBullet"/>
        <w:spacing w:after="40" w:line="360" w:lineRule="auto"/>
      </w:pPr>
      <w:r>
        <w:t>Foco de Ejecución:</w:t>
      </w:r>
    </w:p>
    <w:p>
      <w:pPr>
        <w:pStyle w:val="ListBullet"/>
        <w:spacing w:after="40" w:line="360" w:lineRule="auto"/>
      </w:pPr>
      <w:r>
        <w:t>Nivelación salarial y plan de incentivos por permanencia.</w:t>
      </w:r>
    </w:p>
    <w:p>
      <w:pPr>
        <w:pStyle w:val="ListBullet"/>
        <w:spacing w:after="40" w:line="360" w:lineRule="auto"/>
      </w:pPr>
      <w:r>
        <w:t>Plan acelerado de selección y reclutamiento para el área de TI/Tech.</w:t>
      </w:r>
    </w:p>
    <w:p>
      <w:pPr>
        <w:pStyle w:val="ListBullet"/>
        <w:spacing w:after="40" w:line="360" w:lineRule="auto"/>
      </w:pPr>
      <w:r>
        <w:t>Cuidar el bienestar del trabajador reduciendo las horas extra de 12h a 5h semanales.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2. Cómo la Narrativa Impulsa el Cambio Organizacional</w:t>
      </w:r>
    </w:p>
    <w:p>
      <w:pPr>
        <w:pStyle w:val="ListBullet"/>
        <w:spacing w:after="40" w:line="360" w:lineRule="auto"/>
      </w:pPr>
      <w:r>
        <w:t>Superación del Sostenimiento Pasivo: Transforma la percepción de la transformación digital de "un gasto en software" a un "modelo integral de cultura, personas y tecnología".</w:t>
      </w:r>
    </w:p>
    <w:p>
      <w:pPr>
        <w:pStyle w:val="ListBullet"/>
        <w:spacing w:after="40" w:line="360" w:lineRule="auto"/>
      </w:pPr>
      <w:r>
        <w:t>Alineación Gerencial: Conecta métricas operativas de RRHH (rotación, horas extra) directamente con métricas de balance financiero (ROI, Ahorro \$M), logrando que el CEO y el Comité vean a las personas como el activo crítico de la rentabilidad.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