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黑体" w:hAnsi="黑体" w:eastAsia="黑体"/>
          <w:b/>
          <w:sz w:val="44"/>
        </w:rPr>
        <w:t>心湖匿名心理关怀系统软件V1.0</w:t>
      </w:r>
    </w:p>
    <w:p>
      <w:pPr>
        <w:jc w:val="center"/>
      </w:pPr>
      <w:r>
        <w:rPr>
          <w:rFonts w:ascii="宋体" w:hAnsi="宋体" w:eastAsia="宋体"/>
          <w:sz w:val="28"/>
        </w:rPr>
        <w:t>软件说明书</w:t>
      </w:r>
    </w:p>
    <w:p>
      <w:pPr>
        <w:jc w:val="center"/>
      </w:pPr>
      <w:r>
        <w:rPr>
          <w:rFonts w:ascii="宋体" w:hAnsi="宋体" w:eastAsia="宋体"/>
          <w:sz w:val="24"/>
        </w:rPr>
        <w:t>文档用途：计算机软件著作权登记材料</w:t>
      </w:r>
    </w:p>
    <w:p>
      <w:pPr>
        <w:jc w:val="center"/>
      </w:pPr>
      <w:r>
        <w:rPr>
          <w:rFonts w:ascii="宋体" w:hAnsi="宋体" w:eastAsia="宋体"/>
          <w:sz w:val="24"/>
        </w:rPr>
        <w:t>编制日期：2026年4月25日</w:t>
      </w:r>
    </w:p>
    <w:p>
      <w:pPr>
        <w:jc w:val="center"/>
      </w:pPr>
      <w:r>
        <w:rPr>
          <w:rFonts w:ascii="宋体" w:hAnsi="宋体" w:eastAsia="宋体"/>
          <w:sz w:val="24"/>
        </w:rPr>
        <w:t>公网复核地址：http://121.41.195.165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目录</w:t>
      </w:r>
    </w:p>
    <w:p>
      <w:pPr>
        <w:jc w:val="both"/>
      </w:pPr>
      <w:r>
        <w:rPr>
          <w:rFonts w:ascii="宋体" w:hAnsi="宋体" w:eastAsia="宋体"/>
          <w:sz w:val="23"/>
        </w:rPr>
        <w:t>一、系统概述</w:t>
      </w:r>
    </w:p>
    <w:p>
      <w:pPr>
        <w:jc w:val="both"/>
      </w:pPr>
      <w:r>
        <w:rPr>
          <w:rFonts w:ascii="宋体" w:hAnsi="宋体" w:eastAsia="宋体"/>
          <w:sz w:val="23"/>
        </w:rPr>
        <w:t>二、运行环境</w:t>
      </w:r>
    </w:p>
    <w:p>
      <w:pPr>
        <w:jc w:val="both"/>
      </w:pPr>
      <w:r>
        <w:rPr>
          <w:rFonts w:ascii="宋体" w:hAnsi="宋体" w:eastAsia="宋体"/>
          <w:sz w:val="23"/>
        </w:rPr>
        <w:t>三、总体架构</w:t>
      </w:r>
    </w:p>
    <w:p>
      <w:pPr>
        <w:jc w:val="both"/>
      </w:pPr>
      <w:r>
        <w:rPr>
          <w:rFonts w:ascii="宋体" w:hAnsi="宋体" w:eastAsia="宋体"/>
          <w:sz w:val="23"/>
        </w:rPr>
        <w:t>四、数据规模与展示数据</w:t>
      </w:r>
    </w:p>
    <w:p>
      <w:pPr>
        <w:jc w:val="both"/>
      </w:pPr>
      <w:r>
        <w:rPr>
          <w:rFonts w:ascii="宋体" w:hAnsi="宋体" w:eastAsia="宋体"/>
          <w:sz w:val="23"/>
        </w:rPr>
        <w:t>五、匿名登录</w:t>
      </w:r>
    </w:p>
    <w:p>
      <w:pPr>
        <w:jc w:val="both"/>
      </w:pPr>
      <w:r>
        <w:rPr>
          <w:rFonts w:ascii="宋体" w:hAnsi="宋体" w:eastAsia="宋体"/>
          <w:sz w:val="23"/>
        </w:rPr>
        <w:t>六、观湖首页</w:t>
      </w:r>
    </w:p>
    <w:p>
      <w:pPr>
        <w:jc w:val="both"/>
      </w:pPr>
      <w:r>
        <w:rPr>
          <w:rFonts w:ascii="宋体" w:hAnsi="宋体" w:eastAsia="宋体"/>
          <w:sz w:val="23"/>
        </w:rPr>
        <w:t>七、投石发布</w:t>
      </w:r>
    </w:p>
    <w:p>
      <w:pPr>
        <w:jc w:val="both"/>
      </w:pPr>
      <w:r>
        <w:rPr>
          <w:rFonts w:ascii="宋体" w:hAnsi="宋体" w:eastAsia="宋体"/>
          <w:sz w:val="23"/>
        </w:rPr>
        <w:t>八、涟漪互动</w:t>
      </w:r>
    </w:p>
    <w:p>
      <w:pPr>
        <w:jc w:val="both"/>
      </w:pPr>
      <w:r>
        <w:rPr>
          <w:rFonts w:ascii="宋体" w:hAnsi="宋体" w:eastAsia="宋体"/>
          <w:sz w:val="23"/>
        </w:rPr>
        <w:t>九、纸船回应</w:t>
      </w:r>
    </w:p>
    <w:p>
      <w:pPr>
        <w:jc w:val="both"/>
      </w:pPr>
      <w:r>
        <w:rPr>
          <w:rFonts w:ascii="宋体" w:hAnsi="宋体" w:eastAsia="宋体"/>
          <w:sz w:val="23"/>
        </w:rPr>
        <w:t>十、共鸣发现</w:t>
      </w:r>
    </w:p>
    <w:p>
      <w:pPr>
        <w:jc w:val="both"/>
      </w:pPr>
      <w:r>
        <w:rPr>
          <w:rFonts w:ascii="宋体" w:hAnsi="宋体" w:eastAsia="宋体"/>
          <w:sz w:val="23"/>
        </w:rPr>
        <w:t>十一、个性化推荐</w:t>
      </w:r>
    </w:p>
    <w:p>
      <w:pPr>
        <w:jc w:val="both"/>
      </w:pPr>
      <w:r>
        <w:rPr>
          <w:rFonts w:ascii="宋体" w:hAnsi="宋体" w:eastAsia="宋体"/>
          <w:sz w:val="23"/>
        </w:rPr>
        <w:t>十二、通知中心</w:t>
      </w:r>
    </w:p>
    <w:p>
      <w:pPr>
        <w:jc w:val="both"/>
      </w:pPr>
      <w:r>
        <w:rPr>
          <w:rFonts w:ascii="宋体" w:hAnsi="宋体" w:eastAsia="宋体"/>
          <w:sz w:val="23"/>
        </w:rPr>
        <w:t>十三、好友与临时好友</w:t>
      </w:r>
    </w:p>
    <w:p>
      <w:pPr>
        <w:jc w:val="both"/>
      </w:pPr>
      <w:r>
        <w:rPr>
          <w:rFonts w:ascii="宋体" w:hAnsi="宋体" w:eastAsia="宋体"/>
          <w:sz w:val="23"/>
        </w:rPr>
        <w:t>十四、个人中心</w:t>
      </w:r>
    </w:p>
    <w:p>
      <w:pPr>
        <w:jc w:val="both"/>
      </w:pPr>
      <w:r>
        <w:rPr>
          <w:rFonts w:ascii="宋体" w:hAnsi="宋体" w:eastAsia="宋体"/>
          <w:sz w:val="23"/>
        </w:rPr>
        <w:t>十五、情绪日历</w:t>
      </w:r>
    </w:p>
    <w:p>
      <w:pPr>
        <w:jc w:val="both"/>
      </w:pPr>
      <w:r>
        <w:rPr>
          <w:rFonts w:ascii="宋体" w:hAnsi="宋体" w:eastAsia="宋体"/>
          <w:sz w:val="23"/>
        </w:rPr>
        <w:t>十六、情绪趋势</w:t>
      </w:r>
    </w:p>
    <w:p>
      <w:pPr>
        <w:jc w:val="both"/>
      </w:pPr>
      <w:r>
        <w:rPr>
          <w:rFonts w:ascii="宋体" w:hAnsi="宋体" w:eastAsia="宋体"/>
          <w:sz w:val="23"/>
        </w:rPr>
        <w:t>十七、守护者</w:t>
      </w:r>
    </w:p>
    <w:p>
      <w:pPr>
        <w:jc w:val="both"/>
      </w:pPr>
      <w:r>
        <w:rPr>
          <w:rFonts w:ascii="宋体" w:hAnsi="宋体" w:eastAsia="宋体"/>
          <w:sz w:val="23"/>
        </w:rPr>
        <w:t>十八、安全港湾</w:t>
      </w:r>
    </w:p>
    <w:p>
      <w:pPr>
        <w:jc w:val="both"/>
      </w:pPr>
      <w:r>
        <w:rPr>
          <w:rFonts w:ascii="宋体" w:hAnsi="宋体" w:eastAsia="宋体"/>
          <w:sz w:val="23"/>
        </w:rPr>
        <w:t>十九、灯火计划</w:t>
      </w:r>
    </w:p>
    <w:p>
      <w:pPr>
        <w:jc w:val="both"/>
      </w:pPr>
      <w:r>
        <w:rPr>
          <w:rFonts w:ascii="宋体" w:hAnsi="宋体" w:eastAsia="宋体"/>
          <w:sz w:val="23"/>
        </w:rPr>
        <w:t>二十、湖神陪伴</w:t>
      </w:r>
    </w:p>
    <w:p>
      <w:pPr>
        <w:jc w:val="both"/>
      </w:pPr>
      <w:r>
        <w:rPr>
          <w:rFonts w:ascii="宋体" w:hAnsi="宋体" w:eastAsia="宋体"/>
          <w:sz w:val="23"/>
        </w:rPr>
        <w:t>二十一、隐私设置</w:t>
      </w:r>
    </w:p>
    <w:p>
      <w:pPr>
        <w:jc w:val="both"/>
      </w:pPr>
      <w:r>
        <w:rPr>
          <w:rFonts w:ascii="宋体" w:hAnsi="宋体" w:eastAsia="宋体"/>
          <w:sz w:val="23"/>
        </w:rPr>
        <w:t>二十二、账号恢复与删除</w:t>
      </w:r>
    </w:p>
    <w:p>
      <w:pPr>
        <w:jc w:val="both"/>
      </w:pPr>
      <w:r>
        <w:rPr>
          <w:rFonts w:ascii="宋体" w:hAnsi="宋体" w:eastAsia="宋体"/>
          <w:sz w:val="23"/>
        </w:rPr>
        <w:t>二十三、管理后台</w:t>
      </w:r>
    </w:p>
    <w:p>
      <w:pPr>
        <w:jc w:val="both"/>
      </w:pPr>
      <w:r>
        <w:rPr>
          <w:rFonts w:ascii="宋体" w:hAnsi="宋体" w:eastAsia="宋体"/>
          <w:sz w:val="23"/>
        </w:rPr>
        <w:t>二十四、实时通道</w:t>
      </w:r>
    </w:p>
    <w:p>
      <w:pPr>
        <w:jc w:val="both"/>
      </w:pPr>
      <w:r>
        <w:rPr>
          <w:rFonts w:ascii="宋体" w:hAnsi="宋体" w:eastAsia="宋体"/>
          <w:sz w:val="23"/>
        </w:rPr>
        <w:t>二十五、内容安全</w:t>
      </w:r>
    </w:p>
    <w:p>
      <w:pPr>
        <w:jc w:val="both"/>
      </w:pPr>
      <w:r>
        <w:rPr>
          <w:rFonts w:ascii="宋体" w:hAnsi="宋体" w:eastAsia="宋体"/>
          <w:sz w:val="23"/>
        </w:rPr>
        <w:t>二十六、云端部署</w:t>
      </w:r>
    </w:p>
    <w:p>
      <w:pPr>
        <w:jc w:val="both"/>
      </w:pPr>
      <w:r>
        <w:rPr>
          <w:rFonts w:ascii="宋体" w:hAnsi="宋体" w:eastAsia="宋体"/>
          <w:sz w:val="23"/>
        </w:rPr>
        <w:t>二十七、测试验证</w:t>
      </w:r>
    </w:p>
    <w:p>
      <w:pPr>
        <w:jc w:val="both"/>
      </w:pPr>
      <w:r>
        <w:rPr>
          <w:rFonts w:ascii="宋体" w:hAnsi="宋体" w:eastAsia="宋体"/>
          <w:sz w:val="23"/>
        </w:rPr>
        <w:t>二十八、展示数据维护</w:t>
      </w:r>
    </w:p>
    <w:p>
      <w:pPr>
        <w:jc w:val="both"/>
      </w:pPr>
      <w:r>
        <w:rPr>
          <w:rFonts w:ascii="宋体" w:hAnsi="宋体" w:eastAsia="宋体"/>
          <w:sz w:val="23"/>
        </w:rPr>
        <w:t>二十九、使用注意事项</w:t>
      </w:r>
    </w:p>
    <w:p>
      <w:pPr>
        <w:jc w:val="both"/>
      </w:pPr>
      <w:r>
        <w:rPr>
          <w:rFonts w:ascii="宋体" w:hAnsi="宋体" w:eastAsia="宋体"/>
          <w:sz w:val="23"/>
        </w:rPr>
        <w:t>三十、总结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一、系统概述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心湖匿名心理关怀系统软件 V1.0 是一套面向匿名情绪表达、心理陪伴和温和互动场景的软件系统。用户可在不暴露真实身份的情况下进入系统，把当前心情写成“石头”投入湖面，也可以浏览他人的公开表达，留下涟漪或纸船回应。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系统的设计重点不是制造社交压力，而是降低表达门槛，使用户能在较低暴露感的环境中完成记录、倾诉、共鸣和自我观察。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二、运行环境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客户端采用 Flutter 构建，支持 Android 与 Web 演示形态；管理端采用 Vue 与 Element Plus；后端采用 C++ Drogon 框架，结合 PostgreSQL、Redis、Nginx 和 WebSocket 实现核心服务。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本次本地验证环境中 Flutter、Android SDK、Drogon、JDK 和相关构建工具均安装在全局位置，便于后续重复构建和部署。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三、总体架构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系统采用前后端分离和服务端集中治理架构。Flutter 客户端负责匿名登录、投石、浏览、互动和个人中心；Vue 管理后台负责运营数据、内容审核和系统配置；Drogon 后端负责认证、内容、推荐、风控、通知、数据导出和实时消息。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数据层以 PostgreSQL 为主库，Redis 用于缓存与实时状态辅助，Nginx 作为网关统一转发客户端、管理后台、接口和 WebSocket 请求。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fill="EAF3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层级</w:t>
            </w:r>
          </w:p>
        </w:tc>
        <w:tc>
          <w:tcPr>
            <w:tcW w:type="dxa" w:w="2381"/>
            <w:shd w:fill="EAF3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组成</w:t>
            </w:r>
          </w:p>
        </w:tc>
        <w:tc>
          <w:tcPr>
            <w:tcW w:type="dxa" w:w="4535"/>
            <w:shd w:fill="EAF3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1474"/>
          </w:tcPr>
          <w:p>
            <w:r>
              <w:rPr>
                <w:rFonts w:ascii="宋体" w:hAnsi="宋体" w:eastAsia="宋体"/>
                <w:sz w:val="20"/>
              </w:rPr>
              <w:t>客户端</w:t>
            </w:r>
          </w:p>
        </w:tc>
        <w:tc>
          <w:tcPr>
            <w:tcW w:type="dxa" w:w="2381"/>
          </w:tcPr>
          <w:p>
            <w:r>
              <w:rPr>
                <w:rFonts w:ascii="宋体" w:hAnsi="宋体" w:eastAsia="宋体"/>
                <w:sz w:val="20"/>
              </w:rPr>
              <w:t>Flutter Android/Web</w:t>
            </w:r>
          </w:p>
        </w:tc>
        <w:tc>
          <w:tcPr>
            <w:tcW w:type="dxa" w:w="4535"/>
          </w:tcPr>
          <w:p>
            <w:r>
              <w:rPr>
                <w:rFonts w:ascii="宋体" w:hAnsi="宋体" w:eastAsia="宋体"/>
                <w:sz w:val="20"/>
              </w:rPr>
              <w:t>匿名登录、观湖、投石、互动、个人中心和心理工具</w:t>
            </w:r>
          </w:p>
        </w:tc>
      </w:tr>
      <w:tr>
        <w:tc>
          <w:tcPr>
            <w:tcW w:type="dxa" w:w="1474"/>
          </w:tcPr>
          <w:p>
            <w:r>
              <w:rPr>
                <w:rFonts w:ascii="宋体" w:hAnsi="宋体" w:eastAsia="宋体"/>
                <w:sz w:val="20"/>
              </w:rPr>
              <w:t>管理端</w:t>
            </w:r>
          </w:p>
        </w:tc>
        <w:tc>
          <w:tcPr>
            <w:tcW w:type="dxa" w:w="2381"/>
          </w:tcPr>
          <w:p>
            <w:r>
              <w:rPr>
                <w:rFonts w:ascii="宋体" w:hAnsi="宋体" w:eastAsia="宋体"/>
                <w:sz w:val="20"/>
              </w:rPr>
              <w:t>Vue + Element Plus</w:t>
            </w:r>
          </w:p>
        </w:tc>
        <w:tc>
          <w:tcPr>
            <w:tcW w:type="dxa" w:w="4535"/>
          </w:tcPr>
          <w:p>
            <w:r>
              <w:rPr>
                <w:rFonts w:ascii="宋体" w:hAnsi="宋体" w:eastAsia="宋体"/>
                <w:sz w:val="20"/>
              </w:rPr>
              <w:t>数据看板、内容审核、用户管理、配置和日志</w:t>
            </w:r>
          </w:p>
        </w:tc>
      </w:tr>
      <w:tr>
        <w:tc>
          <w:tcPr>
            <w:tcW w:type="dxa" w:w="1474"/>
          </w:tcPr>
          <w:p>
            <w:r>
              <w:rPr>
                <w:rFonts w:ascii="宋体" w:hAnsi="宋体" w:eastAsia="宋体"/>
                <w:sz w:val="20"/>
              </w:rPr>
              <w:t>服务端</w:t>
            </w:r>
          </w:p>
        </w:tc>
        <w:tc>
          <w:tcPr>
            <w:tcW w:type="dxa" w:w="2381"/>
          </w:tcPr>
          <w:p>
            <w:r>
              <w:rPr>
                <w:rFonts w:ascii="宋体" w:hAnsi="宋体" w:eastAsia="宋体"/>
                <w:sz w:val="20"/>
              </w:rPr>
              <w:t>C++ Drogon</w:t>
            </w:r>
          </w:p>
        </w:tc>
        <w:tc>
          <w:tcPr>
            <w:tcW w:type="dxa" w:w="4535"/>
          </w:tcPr>
          <w:p>
            <w:r>
              <w:rPr>
                <w:rFonts w:ascii="宋体" w:hAnsi="宋体" w:eastAsia="宋体"/>
                <w:sz w:val="20"/>
              </w:rPr>
              <w:t>认证、内容、互动、推荐、风控、通知和实时广播</w:t>
            </w:r>
          </w:p>
        </w:tc>
      </w:tr>
      <w:tr>
        <w:tc>
          <w:tcPr>
            <w:tcW w:type="dxa" w:w="1474"/>
          </w:tcPr>
          <w:p>
            <w:r>
              <w:rPr>
                <w:rFonts w:ascii="宋体" w:hAnsi="宋体" w:eastAsia="宋体"/>
                <w:sz w:val="20"/>
              </w:rPr>
              <w:t>数据层</w:t>
            </w:r>
          </w:p>
        </w:tc>
        <w:tc>
          <w:tcPr>
            <w:tcW w:type="dxa" w:w="2381"/>
          </w:tcPr>
          <w:p>
            <w:r>
              <w:rPr>
                <w:rFonts w:ascii="宋体" w:hAnsi="宋体" w:eastAsia="宋体"/>
                <w:sz w:val="20"/>
              </w:rPr>
              <w:t>PostgreSQL + Redis</w:t>
            </w:r>
          </w:p>
        </w:tc>
        <w:tc>
          <w:tcPr>
            <w:tcW w:type="dxa" w:w="4535"/>
          </w:tcPr>
          <w:p>
            <w:r>
              <w:rPr>
                <w:rFonts w:ascii="宋体" w:hAnsi="宋体" w:eastAsia="宋体"/>
                <w:sz w:val="20"/>
              </w:rPr>
              <w:t>关系数据、互动历史、缓存、会话和统计支撑</w:t>
            </w:r>
          </w:p>
        </w:tc>
      </w:tr>
      <w:tr>
        <w:tc>
          <w:tcPr>
            <w:tcW w:type="dxa" w:w="1474"/>
          </w:tcPr>
          <w:p>
            <w:r>
              <w:rPr>
                <w:rFonts w:ascii="宋体" w:hAnsi="宋体" w:eastAsia="宋体"/>
                <w:sz w:val="20"/>
              </w:rPr>
              <w:t>部署层</w:t>
            </w:r>
          </w:p>
        </w:tc>
        <w:tc>
          <w:tcPr>
            <w:tcW w:type="dxa" w:w="2381"/>
          </w:tcPr>
          <w:p>
            <w:r>
              <w:rPr>
                <w:rFonts w:ascii="宋体" w:hAnsi="宋体" w:eastAsia="宋体"/>
                <w:sz w:val="20"/>
              </w:rPr>
              <w:t>Nginx 网关</w:t>
            </w:r>
          </w:p>
        </w:tc>
        <w:tc>
          <w:tcPr>
            <w:tcW w:type="dxa" w:w="4535"/>
          </w:tcPr>
          <w:p>
            <w:r>
              <w:rPr>
                <w:rFonts w:ascii="宋体" w:hAnsi="宋体" w:eastAsia="宋体"/>
                <w:sz w:val="20"/>
              </w:rPr>
              <w:t>统一转发 /admin/、/api/、/ws/broadcast 和静态资源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四、数据规模与展示数据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当前仓库源文件统计为 391 个文件、约 108,733 行源码及配置内容。本次云端展示数据已在公网环境注入 32 个展示身份和 96 条人工策划石头，使湖面公开石头总量达到 132 条。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本地种子 SQL 采用逐条策划数据：32 个用户、96 条石头、282 条涟漪、48 条纸船、330 条互动历史和 96 条情绪历史。可见正文、昵称、签名和纸船回复均为人工编写，避免机械模板重复。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608"/>
            <w:shd w:fill="EAF3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指标</w:t>
            </w:r>
          </w:p>
        </w:tc>
        <w:tc>
          <w:tcPr>
            <w:tcW w:type="dxa" w:w="1701"/>
            <w:shd w:fill="EAF3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数量</w:t>
            </w:r>
          </w:p>
        </w:tc>
        <w:tc>
          <w:tcPr>
            <w:tcW w:type="dxa" w:w="3969"/>
            <w:shd w:fill="EAF3F0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21"/>
              </w:rPr>
              <w:t>来源</w:t>
            </w:r>
          </w:p>
        </w:tc>
      </w:tr>
      <w:tr>
        <w:tc>
          <w:tcPr>
            <w:tcW w:type="dxa" w:w="2608"/>
          </w:tcPr>
          <w:p>
            <w:r>
              <w:rPr>
                <w:rFonts w:ascii="宋体" w:hAnsi="宋体" w:eastAsia="宋体"/>
                <w:sz w:val="20"/>
              </w:rPr>
              <w:t>公网湖面公开石头总量</w:t>
            </w:r>
          </w:p>
        </w:tc>
        <w:tc>
          <w:tcPr>
            <w:tcW w:type="dxa" w:w="1701"/>
          </w:tcPr>
          <w:p>
            <w:r>
              <w:rPr>
                <w:rFonts w:ascii="宋体" w:hAnsi="宋体" w:eastAsia="宋体"/>
                <w:sz w:val="20"/>
              </w:rPr>
              <w:t>132</w:t>
            </w:r>
          </w:p>
        </w:tc>
        <w:tc>
          <w:tcPr>
            <w:tcW w:type="dxa" w:w="3969"/>
          </w:tcPr>
          <w:p>
            <w:r>
              <w:rPr>
                <w:rFonts w:ascii="宋体" w:hAnsi="宋体" w:eastAsia="宋体"/>
                <w:sz w:val="20"/>
              </w:rPr>
              <w:t>/api/lake/stones 实时返回</w:t>
            </w:r>
          </w:p>
        </w:tc>
      </w:tr>
      <w:tr>
        <w:tc>
          <w:tcPr>
            <w:tcW w:type="dxa" w:w="2608"/>
          </w:tcPr>
          <w:p>
            <w:r>
              <w:rPr>
                <w:rFonts w:ascii="宋体" w:hAnsi="宋体" w:eastAsia="宋体"/>
                <w:sz w:val="20"/>
              </w:rPr>
              <w:t>本次云端新增策划石头</w:t>
            </w:r>
          </w:p>
        </w:tc>
        <w:tc>
          <w:tcPr>
            <w:tcW w:type="dxa" w:w="1701"/>
          </w:tcPr>
          <w:p>
            <w:r>
              <w:rPr>
                <w:rFonts w:ascii="宋体" w:hAnsi="宋体" w:eastAsia="宋体"/>
                <w:sz w:val="20"/>
              </w:rPr>
              <w:t>96</w:t>
            </w:r>
          </w:p>
        </w:tc>
        <w:tc>
          <w:tcPr>
            <w:tcW w:type="dxa" w:w="3969"/>
          </w:tcPr>
          <w:p>
            <w:r>
              <w:rPr>
                <w:rFonts w:ascii="宋体" w:hAnsi="宋体" w:eastAsia="宋体"/>
                <w:sz w:val="20"/>
              </w:rPr>
              <w:t>公开 API 写入</w:t>
            </w:r>
          </w:p>
        </w:tc>
      </w:tr>
      <w:tr>
        <w:tc>
          <w:tcPr>
            <w:tcW w:type="dxa" w:w="2608"/>
          </w:tcPr>
          <w:p>
            <w:r>
              <w:rPr>
                <w:rFonts w:ascii="宋体" w:hAnsi="宋体" w:eastAsia="宋体"/>
                <w:sz w:val="20"/>
              </w:rPr>
              <w:t>本地展示用户</w:t>
            </w:r>
          </w:p>
        </w:tc>
        <w:tc>
          <w:tcPr>
            <w:tcW w:type="dxa" w:w="1701"/>
          </w:tcPr>
          <w:p>
            <w:r>
              <w:rPr>
                <w:rFonts w:ascii="宋体" w:hAnsi="宋体" w:eastAsia="宋体"/>
                <w:sz w:val="20"/>
              </w:rPr>
              <w:t>32</w:t>
            </w:r>
          </w:p>
        </w:tc>
        <w:tc>
          <w:tcPr>
            <w:tcW w:type="dxa" w:w="3969"/>
          </w:tcPr>
          <w:p>
            <w:r>
              <w:rPr>
                <w:rFonts w:ascii="宋体" w:hAnsi="宋体" w:eastAsia="宋体"/>
                <w:sz w:val="20"/>
              </w:rPr>
              <w:t>seed_core_content_only.sql</w:t>
            </w:r>
          </w:p>
        </w:tc>
      </w:tr>
      <w:tr>
        <w:tc>
          <w:tcPr>
            <w:tcW w:type="dxa" w:w="2608"/>
          </w:tcPr>
          <w:p>
            <w:r>
              <w:rPr>
                <w:rFonts w:ascii="宋体" w:hAnsi="宋体" w:eastAsia="宋体"/>
                <w:sz w:val="20"/>
              </w:rPr>
              <w:t>本地展示石头</w:t>
            </w:r>
          </w:p>
        </w:tc>
        <w:tc>
          <w:tcPr>
            <w:tcW w:type="dxa" w:w="1701"/>
          </w:tcPr>
          <w:p>
            <w:r>
              <w:rPr>
                <w:rFonts w:ascii="宋体" w:hAnsi="宋体" w:eastAsia="宋体"/>
                <w:sz w:val="20"/>
              </w:rPr>
              <w:t>96</w:t>
            </w:r>
          </w:p>
        </w:tc>
        <w:tc>
          <w:tcPr>
            <w:tcW w:type="dxa" w:w="3969"/>
          </w:tcPr>
          <w:p>
            <w:r>
              <w:rPr>
                <w:rFonts w:ascii="宋体" w:hAnsi="宋体" w:eastAsia="宋体"/>
                <w:sz w:val="20"/>
              </w:rPr>
              <w:t>seed_core_content_only.sql</w:t>
            </w:r>
          </w:p>
        </w:tc>
      </w:tr>
      <w:tr>
        <w:tc>
          <w:tcPr>
            <w:tcW w:type="dxa" w:w="2608"/>
          </w:tcPr>
          <w:p>
            <w:r>
              <w:rPr>
                <w:rFonts w:ascii="宋体" w:hAnsi="宋体" w:eastAsia="宋体"/>
                <w:sz w:val="20"/>
              </w:rPr>
              <w:t>本地展示涟漪</w:t>
            </w:r>
          </w:p>
        </w:tc>
        <w:tc>
          <w:tcPr>
            <w:tcW w:type="dxa" w:w="1701"/>
          </w:tcPr>
          <w:p>
            <w:r>
              <w:rPr>
                <w:rFonts w:ascii="宋体" w:hAnsi="宋体" w:eastAsia="宋体"/>
                <w:sz w:val="20"/>
              </w:rPr>
              <w:t>282</w:t>
            </w:r>
          </w:p>
        </w:tc>
        <w:tc>
          <w:tcPr>
            <w:tcW w:type="dxa" w:w="3969"/>
          </w:tcPr>
          <w:p>
            <w:r>
              <w:rPr>
                <w:rFonts w:ascii="宋体" w:hAnsi="宋体" w:eastAsia="宋体"/>
                <w:sz w:val="20"/>
              </w:rPr>
              <w:t>临时 PostgreSQL 落库验证</w:t>
            </w:r>
          </w:p>
        </w:tc>
      </w:tr>
      <w:tr>
        <w:tc>
          <w:tcPr>
            <w:tcW w:type="dxa" w:w="2608"/>
          </w:tcPr>
          <w:p>
            <w:r>
              <w:rPr>
                <w:rFonts w:ascii="宋体" w:hAnsi="宋体" w:eastAsia="宋体"/>
                <w:sz w:val="20"/>
              </w:rPr>
              <w:t>本地展示纸船</w:t>
            </w:r>
          </w:p>
        </w:tc>
        <w:tc>
          <w:tcPr>
            <w:tcW w:type="dxa" w:w="1701"/>
          </w:tcPr>
          <w:p>
            <w:r>
              <w:rPr>
                <w:rFonts w:ascii="宋体" w:hAnsi="宋体" w:eastAsia="宋体"/>
                <w:sz w:val="20"/>
              </w:rPr>
              <w:t>48</w:t>
            </w:r>
          </w:p>
        </w:tc>
        <w:tc>
          <w:tcPr>
            <w:tcW w:type="dxa" w:w="3969"/>
          </w:tcPr>
          <w:p>
            <w:r>
              <w:rPr>
                <w:rFonts w:ascii="宋体" w:hAnsi="宋体" w:eastAsia="宋体"/>
                <w:sz w:val="20"/>
              </w:rPr>
              <w:t>逐条策划回复</w:t>
            </w:r>
          </w:p>
        </w:tc>
      </w:tr>
      <w:tr>
        <w:tc>
          <w:tcPr>
            <w:tcW w:type="dxa" w:w="2608"/>
          </w:tcPr>
          <w:p>
            <w:r>
              <w:rPr>
                <w:rFonts w:ascii="宋体" w:hAnsi="宋体" w:eastAsia="宋体"/>
                <w:sz w:val="20"/>
              </w:rPr>
              <w:t>本地互动历史</w:t>
            </w:r>
          </w:p>
        </w:tc>
        <w:tc>
          <w:tcPr>
            <w:tcW w:type="dxa" w:w="1701"/>
          </w:tcPr>
          <w:p>
            <w:r>
              <w:rPr>
                <w:rFonts w:ascii="宋体" w:hAnsi="宋体" w:eastAsia="宋体"/>
                <w:sz w:val="20"/>
              </w:rPr>
              <w:t>330</w:t>
            </w:r>
          </w:p>
        </w:tc>
        <w:tc>
          <w:tcPr>
            <w:tcW w:type="dxa" w:w="3969"/>
          </w:tcPr>
          <w:p>
            <w:r>
              <w:rPr>
                <w:rFonts w:ascii="宋体" w:hAnsi="宋体" w:eastAsia="宋体"/>
                <w:sz w:val="20"/>
              </w:rPr>
              <w:t>推荐链路验证数据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3597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oud-data-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97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0"/>
        </w:rPr>
        <w:t>图 2 云端真实 API 数据展示看板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五、匿名登录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用户首次进入软件后，可选择匿名进入心湖。系统生成匿名身份、访问令牌、刷新令牌、会话编号和恢复密钥，用户无需填写手机号、姓名等敏感身份信息。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恢复密钥用于后续找回账号，因此登录完成后系统会提示用户妥善保存。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326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tter-au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32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0"/>
        </w:rPr>
        <w:t>图 1 Flutter Web 匿名登录页面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六、观湖首页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观湖首页展示湖面公开石头列表，每条石头包含情绪、正文、石头形态和互动入口。首页还展示湖面气象，用于体现近 24 小时活跃度和总量。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本次修复后，湖面气象接口同时返回 recent_stones 与 total_stones，避免历史有内容但近时段无新增时误报“等待第一颗石子”。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七、投石发布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用户可以选择情绪、石头颜色和形态，并输入想表达的内容。后端会校验内容长度、情绪类型、颜色格式和安全风险。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投石成功后，系统会广播新石头事件，刷新湖面、个人中心和后台统计。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八、涟漪互动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涟漪用于表达轻量共鸣，相当于对一条石头的温和回应。系统记录用户、石头和创建时间，并更新石头的涟漪计数。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涟漪数据也会进入推荐和共鸣计算，使系统能够更好地理解用户关注的情绪类型。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九、纸船回应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纸船是比涟漪更完整的匿名回应。用户可对某条石头发送一段文字，用于安慰、共情、提醒或鼓励。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本次展示数据中纸船文案按不同语气逐条编写，覆盖“慢慢来”“先保存再检查”“把压力拆小”等真实使用场景。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十、共鸣发现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共鸣发现页帮助用户主动寻找相近情绪和高质量内容。系统可以按情绪、热度、个性化匹配和相似内容组织结果。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该功能适合在用户已经完成初次浏览后继续寻找同频表达，减少无效翻阅。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十一、个性化推荐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推荐系统综合用户发布内容、互动历史、情绪画像、内容相似度和探索策略，输出更贴近当前状态的石头。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种子数据中保留了浏览、涟漪、纸船等互动历史，便于演示推荐链路不是空数据。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十二、通知中心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通知中心汇总用户收到的涟漪、纸船、好友关系变化和系统消息。它帮助用户回到与自己相关的互动，不必在湖面中反复寻找。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通知记录在数据库中独立保存，并可标记已读或统一清理。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十三、好友与临时好友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系统支持正式好友和临时好友两类关系。临时好友适合从一次纸船或石头互动开始，保留有限时间，降低直接建立长期关系的压力。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当双方持续互动后，可进一步建立正式好友关系并发送好友消息。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十四、个人中心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个人中心集中展示用户头像、昵称、投石数量、收到纸船、发出纸船、相伴天数、情绪日历、隐私设置和账号工具。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该页面是用户回看自己使用轨迹和进入高级功能的主入口。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十五、情绪日历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情绪日历按日期聚合用户的投石和情绪记录，让用户从零散表达中看到周期变化。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系统会把每日主要情绪和记录数量整合到日历中，便于用户识别近期波动。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十六、情绪趋势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情绪趋势强调阶段性变化，回答“最近整体更平稳还是更紧张”这类问题。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系统结合情绪分数、情绪类型和历史记录生成趋势结果，同时保留隐私保护提示。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十七、守护者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守护者机制用于鼓励高质量回应和温和陪伴。用户通过持续正向互动获得共鸣点和守护资格。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该机制把帮助他人与自我成长结合起来，形成更健康的社区激励。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十八、安全港湾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安全港湾提供心理援助热线、自助稳定练习、五感着陆、情绪日记等支持入口。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当用户出现较高压力或需要更明确帮助时，可从安全港湾获得稳定引导。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十九、灯火计划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灯火计划用于承载会员权益、心理咨询预约和更高强度的陪伴资源。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接口层保留 /api/vip/ 路径前缀，前端展示层使用“灯火计划”命名，兼顾产品表达和接口兼容。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二十、湖神陪伴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湖神陪伴是 AI 对话入口，用户可以输入当前感受，系统结合情绪识别、内容审核和历史上下文给出回应。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当内容存在风险时，系统会优先引导用户使用安全港湾和专业资源。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二十一、隐私设置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隐私设置允许用户控制资料可见性、在线状态、陌生人纸船和好友请求。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账号数据导出、停用和永久删除也集中在账号管理能力中，满足用户对匿名系统的控制需求。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二十二、账号恢复与删除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匿名账号依靠恢复密钥找回。用户更换设备或清除本地数据后，可通过恢复密钥恢复原有身份。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永久删除操作会按依赖顺序清理纸船、涟漪、好友、通知、石头和用户记录，避免残留数据。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二十三、管理后台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管理后台提供实时概览、用户管理、内容管理、举报处理、敏感词管理、配置维护、操作日志和统计分析。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本次云端截图可访问 /admin/ 管理入口，说明前后端网关路径已部署。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oud-adm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0"/>
        </w:rPr>
        <w:t>图 3 云端管理后台登录入口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二十四、实时通道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系统通过 /ws/broadcast 提供 WebSocket 实时广播，新石头、新互动和后台统计更新可及时推送。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本次已修正网关首页显示的实时通道路径，避免把不可用的 /chat/ 作为入口。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二十五、内容安全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后端在投石、纸船和 AI 对话中执行长度、类型、格式和内容安全校验，避免明显不当内容进入公开湖面。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管理后台也提供审核和敏感词维护能力，形成自动校验与人工治理结合。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二十六、云端部署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当前云端地址为 http://121.41.195.165，健康检查接口返回状态 ok、版本 3.0。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公网管理后台、网关页和公开湖面接口均已复核。HTTPS 证书当前未完成配置，生产提交或正式展示建议补齐 TLS。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oud-gatewa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0"/>
        </w:rPr>
        <w:t>图 4 云端网关首页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二十七、测试验证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本次本地验证包括后端 CMake 编译、Flutter analyze、Flutter Web 构建、Vue 管理端构建和种子 SQL 容器落库验证。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种子 SQL 在 PostgreSQL 16 临时容器中执行完整迁移后落库成功，返回 32/96/282/48/330/96 的数据规模统计。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二十八、展示数据维护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展示数据采用明确前缀 showcase_user_、showcase_stone_、showcase_boat_、showcase_ripple_，便于重复导入前清理，不影响真实用户数据。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云端通过公开 API 注入的数据使用稳定设备标识，后续如需清理，可按账号恢复方式重新登录对应展示身份并删除。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二十九、使用注意事项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用户应保存恢复密钥，避免匿名账号丢失。对于涉及强烈心理压力的情况，软件只提供基础陪伴与资源引导，不能替代专业医疗诊断或治疗。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管理员应定期检查内容审核、举报处理、数据备份和 TLS 配置。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三十、总结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心湖匿名心理关怀系统软件 V1.0 已具备从匿名登录、内容发布、互动回应、个性化推荐、情绪工具到后台治理的完整闭环。</w:t>
      </w:r>
    </w:p>
    <w:p>
      <w:pPr>
        <w:ind w:firstLine="420"/>
        <w:jc w:val="both"/>
      </w:pPr>
      <w:r>
        <w:rPr>
          <w:rFonts w:ascii="宋体" w:hAnsi="宋体" w:eastAsia="宋体"/>
          <w:sz w:val="23"/>
        </w:rPr>
        <w:t>本次材料基于真实仓库、真实云端复核和真实构建结果整理，展示数据规模已扩充，适合作为软著登记说明书和项目展示材料。</w:t>
      </w:r>
    </w:p>
    <w:sectPr w:rsidR="00FC693F" w:rsidRPr="0006063C" w:rsidSect="00034616">
      <w:pgSz w:w="11906" w:h="16838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宋体" w:hAnsi="宋体" w:eastAsia="宋体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