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/>
      </w:pPr>
      <w:bookmarkStart w:colFirst="0" w:colLast="0" w:name="_12dq5knafh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243f61"/>
          <w:sz w:val="32"/>
          <w:szCs w:val="32"/>
          <w:rtl w:val="0"/>
        </w:rPr>
        <w:t xml:space="preserve">Consumer Brand A - UGC Creator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CAC and CPMs declined following the introduction of a structured UGC creator program on Meta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Acquisition Efficiency, secondary: Creative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Problem signal: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Meta acquisition costs rising with no change in spend, audience, or campaign structure, isolating creative composition as the primary variable.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Details we have: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Before UGC program: Meta CAC at $210 and CPMs at $25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After UGC program launched: Blended daily Meta CAC reduced to $149 and CPMs to $11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Before UGC program: 100% of spend allocated to brand-produced creative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1,000 creator applications received in the first week with 25 creators selected at $250–$500 per piece ($10K total investment)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UGC creative: $58K weekly spend at $141 CAC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Non-UGC creative: $200 CAC during the same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Trigger logic: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Meta CAC rises with no meaningful change in spend, audience, or campaign structure, audit creative composition before adjusting media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CPMs are elevated and not improving, audit creative composition as one variable before adjusting bids or audiences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the active creative pool is heavily skewed to one format, diversify creative mix before drawing conclusions about channel or audience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Checks / analysis path: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Audit active creative by content type and confirm format distribution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Identify whether performance is concentrated in a single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Action: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before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Test underrepresented creative formats when performance is concentrated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Scale spend behind top-performing creative types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Observed result / use-case value: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Introducing UGC reduced Meta CAC from $210 to $149 and CPMs from $25 to $11, consistent with creative composition as the primary driver of performance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color w:val="243f61"/>
          <w:sz w:val="32"/>
          <w:szCs w:val="32"/>
        </w:rPr>
      </w:pPr>
      <w:bookmarkStart w:colFirst="0" w:colLast="0" w:name="_hg0y0293po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243f61"/>
          <w:sz w:val="32"/>
          <w:szCs w:val="32"/>
          <w:rtl w:val="0"/>
        </w:rPr>
        <w:t xml:space="preserve">Consumer Brand A - Compliance UX and CVR Collapse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Legally required health data consent pop-up caused a sudden CVR collapse across all traffic sources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Conversion / Merchandising, secondary: Compliance UX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Problem signal: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Site CVR dropped suddenly and materially with no change in traffic quality, spend, or creative.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Details we have: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CVR dropped from 2.5% to under 1% overnight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Primary conversion flow was a personalized quiz collecting health data before delivering a product recommendation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Legal required a health data consent pop-up before quiz entry with language that was clinical and implemented without UX testing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Paid traffic was routed into the same quiz flow via UTMs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Trigger logic: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CVR drops suddenly across paid and organic, audit the on-site experience before adjusting campaigns or media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the drop coincides with a recent site or flow change, audit that change before questioning traffic quality or media performance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legal or compliance changes have recently been deployed, treat UX friction as the first hypothesis before adjusting spend or targeting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Checks / analysis path: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Map CVR trend against timeline of recent site and flow changes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Simulate the full conversion path as a new visitor using an incognito window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Identify all friction points introduced recently, such as consent pop-ups, legal copy, flow changes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Confirm whether paid and organic share the same conversion path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Action: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Remove or redesign friction introduced by compliance changes and provide alternative paths for users who exit the primary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Observed result / use-case value: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CVR recovered 3x following the redesign. Fix applied to core flow benefited both paid and organic simultaneously. CAC improved as conversion efficiency was restored.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color w:val="243f61"/>
          <w:sz w:val="32"/>
          <w:szCs w:val="32"/>
        </w:rPr>
      </w:pPr>
      <w:bookmarkStart w:colFirst="0" w:colLast="0" w:name="_h2g6zdu4c38r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243f61"/>
          <w:sz w:val="32"/>
          <w:szCs w:val="32"/>
          <w:rtl w:val="0"/>
        </w:rPr>
        <w:t xml:space="preserve">Consumer Brand B - Offer-Heavy Creative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Offer-led retargeting creative reduced CAC by converting lower-quality customers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Acquisition Efficiency, secondary: Retention diagnostic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Problem signal: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Retargeting CAC improved materially, driven by lower-quality conversions that weakened repeat purchase behavior.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Details we have: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CAC running at ~$155 across warm audiences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Existing creative did not clearly lead with an offer proposition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New static creative introduced with bold first-time offer and sustainability messaging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CAC improved from ~$155 to ~$76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Within 60–75 days, second order rate declined materially for Meta-driven cohorts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Early third order rate declined alongside second order rate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Creative was replaced with value-led messaging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Trigger logic: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CAC improves on a retargeting audience, do not scale until repeat purchase behavior is validated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creative introduces offers or urgency, treat cohort quality as at risk and evaluate repeat purchase behavior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Checks / analysis path: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Compare CAC and second order before and after creative change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Track second order rate by creative cohort at 60 and 90 days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Evaluate early third order rate alongside second order rate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Break out creative mix (offer-led versus value-led) to isolate driver of efficiency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Compare 30/60/90-day revenue per user across cohorts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Action: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Do not scale retargeting efficiency gains without retention validation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Pull or rebalance creative immediately if cohort quality declines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Observed result / use-case value: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Retargeting CAC improved 51% from $155 to $76, but the gain was driven by lower-quality conversions from offer-led creative. Within 60–75 days, second order rate for Meta-driven cohorts declined materially, confirming downstream LTV degradation. Creative was pulled to prevent scaling lower-value cohorts. Established rule: CAC improvements in retargeting are only valid if repeat purchase behavior holds.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