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i w:val="0"/>
          <w:color w:val="1B2733"/>
          <w:sz w:val="32"/>
          <w:rFonts w:ascii="Times New Roman" w:hAnsi="Times New Roman" w:eastAsia="黑体"/>
        </w:rPr>
        <w:t>北控水务杯第九届中国国际生态环境创新大赛</w:t>
      </w:r>
    </w:p>
    <w:p>
      <w:pPr>
        <w:spacing w:after="360"/>
        <w:jc w:val="center"/>
      </w:pPr>
      <w:r>
        <w:rPr>
          <w:b/>
          <w:i w:val="0"/>
          <w:color w:val="1B2733"/>
          <w:sz w:val="44"/>
          <w:rFonts w:ascii="Times New Roman" w:hAnsi="Times New Roman" w:eastAsia="黑体"/>
        </w:rPr>
        <w:t>技　术　报　告</w:t>
      </w:r>
    </w:p>
    <w:p>
      <w:pPr>
        <w:spacing w:after="480"/>
        <w:jc w:val="center"/>
      </w:pPr>
      <w:r>
        <w:rPr>
          <w:b w:val="0"/>
          <w:i w:val="0"/>
          <w:color w:val="1B2733"/>
          <w:sz w:val="28"/>
          <w:rFonts w:ascii="Times New Roman" w:hAnsi="Times New Roman" w:eastAsia="黑体"/>
        </w:rPr>
        <w:t>（项目说明书）</w:t>
      </w:r>
    </w:p>
    <w:p>
      <w:pPr>
        <w:spacing w:after="160"/>
        <w:jc w:val="left"/>
      </w:pPr>
      <w:r>
        <w:rPr>
          <w:b w:val="0"/>
          <w:i w:val="0"/>
          <w:sz w:val="28"/>
          <w:rFonts w:ascii="Times New Roman" w:hAnsi="Times New Roman" w:eastAsia="宋体"/>
        </w:rPr>
        <w:t>作品名称：澜脉（AquaPulse）· 污水厂设备 AI 预测性维护系统</w:t>
      </w:r>
    </w:p>
    <w:p>
      <w:pPr>
        <w:spacing w:after="160"/>
        <w:jc w:val="left"/>
      </w:pPr>
      <w:r>
        <w:rPr>
          <w:b w:val="0"/>
          <w:i w:val="0"/>
          <w:sz w:val="28"/>
          <w:rFonts w:ascii="Times New Roman" w:hAnsi="Times New Roman" w:eastAsia="宋体"/>
        </w:rPr>
        <w:t>命题方向：2-6　基于 AI 设备预测性维护与管理技术与解决方案</w:t>
      </w:r>
    </w:p>
    <w:p>
      <w:pPr>
        <w:spacing w:after="160"/>
        <w:jc w:val="left"/>
      </w:pPr>
      <w:r>
        <w:rPr>
          <w:b w:val="0"/>
          <w:i w:val="0"/>
          <w:sz w:val="28"/>
          <w:rFonts w:ascii="Times New Roman" w:hAnsi="Times New Roman" w:eastAsia="宋体"/>
        </w:rPr>
        <w:t>参赛组别：创意转化组</w:t>
      </w:r>
    </w:p>
    <w:p>
      <w:pPr>
        <w:spacing w:after="160"/>
        <w:jc w:val="left"/>
      </w:pPr>
      <w:r>
        <w:rPr>
          <w:b w:val="0"/>
          <w:i w:val="0"/>
          <w:sz w:val="28"/>
          <w:rFonts w:ascii="Times New Roman" w:hAnsi="Times New Roman" w:eastAsia="宋体"/>
        </w:rPr>
        <w:t>作者姓名：&lt;请填写团队成员&gt;</w:t>
      </w:r>
    </w:p>
    <w:p>
      <w:pPr>
        <w:spacing w:after="160"/>
        <w:jc w:val="left"/>
      </w:pPr>
      <w:r>
        <w:rPr>
          <w:b w:val="0"/>
          <w:i w:val="0"/>
          <w:sz w:val="28"/>
          <w:rFonts w:ascii="Times New Roman" w:hAnsi="Times New Roman" w:eastAsia="宋体"/>
        </w:rPr>
        <w:t>指导教师：&lt;请填写&gt;</w:t>
      </w:r>
    </w:p>
    <w:p>
      <w:pPr>
        <w:spacing w:after="160"/>
        <w:jc w:val="left"/>
      </w:pPr>
      <w:r>
        <w:rPr>
          <w:b w:val="0"/>
          <w:i w:val="0"/>
          <w:sz w:val="28"/>
          <w:rFonts w:ascii="Times New Roman" w:hAnsi="Times New Roman" w:eastAsia="宋体"/>
        </w:rPr>
        <w:t>所在院校：&lt;请填写&gt;</w:t>
      </w:r>
    </w:p>
    <w:p>
      <w:pPr>
        <w:spacing w:after="160"/>
        <w:jc w:val="left"/>
      </w:pPr>
      <w:r>
        <w:rPr>
          <w:b w:val="0"/>
          <w:i w:val="0"/>
          <w:sz w:val="28"/>
          <w:rFonts w:ascii="Times New Roman" w:hAnsi="Times New Roman" w:eastAsia="宋体"/>
        </w:rPr>
        <w:t>日期：2026 年 09 月 25 日</w:t>
      </w:r>
    </w:p>
    <w:p>
      <w:r>
        <w:br w:type="page"/>
      </w:r>
    </w:p>
    <w:p>
      <w:pPr>
        <w:jc w:val="center"/>
      </w:pPr>
      <w:r>
        <w:rPr>
          <w:b/>
          <w:i w:val="0"/>
          <w:color w:val="1B2733"/>
          <w:sz w:val="36"/>
          <w:rFonts w:ascii="Times New Roman" w:hAnsi="Times New Roman" w:eastAsia="黑体"/>
        </w:rPr>
        <w:t>目　录</w:t>
      </w:r>
    </w:p>
    <w:p>
      <w:r/>
      <w:fldSimple w:instr="TOC \o &quot;1-3&quot; \h \z \u">
        <w:r>
          <w:t>（在 Word 中按 F9 或右键“更新域”生成目录）</w:t>
        </w:r>
      </w:fldSimple>
    </w:p>
    <w:p>
      <w:r>
        <w:br w:type="page"/>
      </w:r>
    </w:p>
    <w:p>
      <w:pPr>
        <w:pStyle w:val="Heading1"/>
      </w:pPr>
      <w:r>
        <w:t>11 项目说明书 / 技术报告（澜脉 · AquaPulse）</w:t>
      </w:r>
    </w:p>
    <w:p>
      <w:pPr>
        <w:shd w:val="clear" w:fill="F2F2F2"/>
      </w:pPr>
      <w:r>
        <w:rPr>
          <w:b w:val="0"/>
          <w:i w:val="0"/>
          <w:color w:val="31465A"/>
          <w:sz w:val="21"/>
          <w:rFonts w:ascii="Times New Roman" w:hAnsi="Times New Roman" w:eastAsia="宋体"/>
        </w:rPr>
        <w:t>参赛：北控水务杯第九届中国国际生态环境创新大赛 ｜ 组别：</w:t>
      </w:r>
      <w:r>
        <w:rPr>
          <w:b/>
          <w:i w:val="0"/>
          <w:color w:val="31465A"/>
          <w:sz w:val="21"/>
          <w:rFonts w:ascii="Times New Roman" w:hAnsi="Times New Roman" w:eastAsia="宋体"/>
        </w:rPr>
        <w:t>创意转化组</w:t>
      </w:r>
      <w:r>
        <w:rPr>
          <w:b w:val="0"/>
          <w:i w:val="0"/>
          <w:color w:val="31465A"/>
          <w:sz w:val="21"/>
          <w:rFonts w:ascii="Times New Roman" w:hAnsi="Times New Roman" w:eastAsia="宋体"/>
        </w:rPr>
        <w:t xml:space="preserve"> ｜ 命题方向：</w:t>
      </w:r>
      <w:r>
        <w:rPr>
          <w:b/>
          <w:i w:val="0"/>
          <w:color w:val="31465A"/>
          <w:sz w:val="21"/>
          <w:rFonts w:ascii="Times New Roman" w:hAnsi="Times New Roman" w:eastAsia="宋体"/>
        </w:rPr>
        <w:t>2-6「基于 AI 设备预测性维护与管理技术与解决方案」</w:t>
      </w:r>
      <w:r>
        <w:rPr>
          <w:b w:val="0"/>
          <w:i w:val="0"/>
          <w:color w:val="31465A"/>
          <w:sz w:val="21"/>
          <w:rFonts w:ascii="Times New Roman" w:hAnsi="Times New Roman" w:eastAsia="宋体"/>
        </w:rPr>
        <w:t>（附件 2 原文） 组织方式：按附件 1「评分标准」四维展开（</w:t>
      </w:r>
      <w:r>
        <w:rPr>
          <w:b/>
          <w:i w:val="0"/>
          <w:color w:val="31465A"/>
          <w:sz w:val="21"/>
          <w:rFonts w:ascii="Times New Roman" w:hAnsi="Times New Roman" w:eastAsia="宋体"/>
        </w:rPr>
        <w:t>技术方向 50% / 市场方向 20% / 商业模式 20% / 项目团队 10%</w:t>
      </w:r>
      <w:r>
        <w:rPr>
          <w:b w:val="0"/>
          <w:i w:val="0"/>
          <w:color w:val="31465A"/>
          <w:sz w:val="21"/>
          <w:rFonts w:ascii="Times New Roman" w:hAnsi="Times New Roman" w:eastAsia="宋体"/>
        </w:rPr>
        <w:t>），章节骨架参考往届优秀技术报告格式。 引用纪律：所有数字都能在项目仓库复现；对外引用必须带口径与限定词（见附录 C）。</w:t>
      </w:r>
      <w:r>
        <w:rPr>
          <w:b/>
          <w:i w:val="0"/>
          <w:color w:val="31465A"/>
          <w:sz w:val="21"/>
          <w:rFonts w:ascii="Times New Roman" w:hAnsi="Times New Roman" w:eastAsia="宋体"/>
        </w:rPr>
        <w:t>污水厂侧结论均为机理仿真，材料中一律标注"仿真"。</w:t>
      </w:r>
      <w:r>
        <w:rPr>
          <w:b w:val="0"/>
          <w:i w:val="0"/>
          <w:color w:val="31465A"/>
          <w:sz w:val="21"/>
          <w:rFonts w:ascii="Times New Roman" w:hAnsi="Times New Roman" w:eastAsia="宋体"/>
        </w:rPr>
        <w:t xml:space="preserve"> 版本：2026-09-22（v2，含 35 张配图）｜ 正文源文件：docs/11_项目说明书.md ｜ 可打印版：deliverables/澜脉_项目说明书.html</w:t>
      </w:r>
    </w:p>
    <w:p/>
    <w:p>
      <w:pPr>
        <w:pStyle w:val="Heading2"/>
      </w:pPr>
      <w:r>
        <w:t>第 1 章 作品简介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2580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80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　系统架构：数据 → 算法 → 服务 → 交付四层（全部可离线运行）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20068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B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0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　四段技术链路与每段的关键数字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911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C_criter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1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　检测判据机制示意：双基线 + 事件机 + P1/P2/P3 分级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一句话</w:t>
      </w:r>
      <w:r>
        <w:rPr>
          <w:b w:val="0"/>
          <w:i w:val="0"/>
          <w:sz w:val="24"/>
          <w:rFonts w:ascii="Times New Roman" w:hAnsi="Times New Roman" w:eastAsia="宋体"/>
        </w:rPr>
        <w:t>：澜脉是一套</w:t>
      </w:r>
      <w:r>
        <w:rPr>
          <w:b/>
          <w:i w:val="0"/>
          <w:sz w:val="24"/>
          <w:rFonts w:ascii="Times New Roman" w:hAnsi="Times New Roman" w:eastAsia="宋体"/>
        </w:rPr>
        <w:t>纯软件的污水厂设备 AI 预测性维护系统</w:t>
      </w:r>
      <w:r>
        <w:rPr>
          <w:b w:val="0"/>
          <w:i w:val="0"/>
          <w:sz w:val="24"/>
          <w:rFonts w:ascii="Times New Roman" w:hAnsi="Times New Roman" w:eastAsia="宋体"/>
        </w:rPr>
        <w:t xml:space="preserve"> —— 不新增任何传感器，只用厂里本来就在记录的电流、温度、压力、流量等信号，回答四个问题：</w:t>
      </w:r>
      <w:r>
        <w:rPr>
          <w:b/>
          <w:i w:val="0"/>
          <w:sz w:val="24"/>
          <w:rFonts w:ascii="Times New Roman" w:hAnsi="Times New Roman" w:eastAsia="宋体"/>
        </w:rPr>
        <w:t>有没有异常 → 是什么故障 → 还剩多久 → 什么时候修最省</w:t>
      </w:r>
      <w:r>
        <w:rPr>
          <w:b w:val="0"/>
          <w:i w:val="0"/>
          <w:sz w:val="24"/>
          <w:rFonts w:ascii="Times New Roman" w:hAnsi="Times New Roman" w:eastAsia="宋体"/>
        </w:rPr>
        <w:t>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解决什么痛点</w:t>
      </w:r>
      <w:r>
        <w:rPr>
          <w:b w:val="0"/>
          <w:i w:val="0"/>
          <w:sz w:val="24"/>
          <w:rFonts w:ascii="Times New Roman" w:hAnsi="Times New Roman" w:eastAsia="宋体"/>
        </w:rPr>
        <w:t>：污水厂的关键设备（鼓风机、脱水机、提升泵、回流泵）目前普遍是「坏了才修 + 定期大修」：非计划停机代价高，备件与人工被浪费在还没坏的设备上；而厂里其实</w:t>
      </w:r>
      <w:r>
        <w:rPr>
          <w:b/>
          <w:i w:val="0"/>
          <w:sz w:val="24"/>
          <w:rFonts w:ascii="Times New Roman" w:hAnsi="Times New Roman" w:eastAsia="宋体"/>
        </w:rPr>
        <w:t>已经有足够多的运行数据</w:t>
      </w:r>
      <w:r>
        <w:rPr>
          <w:b w:val="0"/>
          <w:i w:val="0"/>
          <w:sz w:val="24"/>
          <w:rFonts w:ascii="Times New Roman" w:hAnsi="Times New Roman" w:eastAsia="宋体"/>
        </w:rPr>
        <w:t>，缺的是「能从数据里看出设备在退化」的方法与工具。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项目定位</w:t>
      </w:r>
      <w:r>
        <w:rPr>
          <w:b w:val="0"/>
          <w:i w:val="0"/>
          <w:sz w:val="24"/>
          <w:rFonts w:ascii="Times New Roman" w:hAnsi="Times New Roman" w:eastAsia="宋体"/>
        </w:rPr>
        <w:t>：面向市政污水厂（TO B / TO G）的</w:t>
      </w:r>
      <w:r>
        <w:rPr>
          <w:b/>
          <w:i w:val="0"/>
          <w:sz w:val="24"/>
          <w:rFonts w:ascii="Times New Roman" w:hAnsi="Times New Roman" w:eastAsia="宋体"/>
        </w:rPr>
        <w:t>设备健康管理软件 + 接入标定服务</w:t>
      </w:r>
      <w:r>
        <w:rPr>
          <w:b w:val="0"/>
          <w:i w:val="0"/>
          <w:sz w:val="24"/>
          <w:rFonts w:ascii="Times New Roman" w:hAnsi="Times New Roman" w:eastAsia="宋体"/>
        </w:rPr>
        <w:t>；形态是可离线部署的本地工具（命令行 + 本地网页工作台 + 企业版报告），不涉及硬件、不涉及垫资。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与命题的对应</w:t>
      </w:r>
      <w:r>
        <w:rPr>
          <w:b w:val="0"/>
          <w:i w:val="0"/>
          <w:sz w:val="24"/>
          <w:rFonts w:ascii="Times New Roman" w:hAnsi="Times New Roman" w:eastAsia="宋体"/>
        </w:rPr>
        <w:t>：命题 2-6 要求「基于 AI 的设备预测性维护与管理技术与解决方案」。本作品交付的是</w:t>
      </w:r>
      <w:r>
        <w:rPr>
          <w:b/>
          <w:i w:val="0"/>
          <w:sz w:val="24"/>
          <w:rFonts w:ascii="Times New Roman" w:hAnsi="Times New Roman" w:eastAsia="宋体"/>
        </w:rPr>
        <w:t>检测 → 诊断 → 剩余寿命 → 维护决策的完整闭环</w:t>
      </w:r>
      <w:r>
        <w:rPr>
          <w:b w:val="0"/>
          <w:i w:val="0"/>
          <w:sz w:val="24"/>
          <w:rFonts w:ascii="Times New Roman" w:hAnsi="Times New Roman" w:eastAsia="宋体"/>
        </w:rPr>
        <w:t>，以及</w:t>
      </w:r>
      <w:r>
        <w:rPr>
          <w:b/>
          <w:i w:val="0"/>
          <w:sz w:val="24"/>
          <w:rFonts w:ascii="Times New Roman" w:hAnsi="Times New Roman" w:eastAsia="宋体"/>
        </w:rPr>
        <w:t>让现场把数据接进来的标定工具与报告</w:t>
      </w:r>
      <w:r>
        <w:rPr>
          <w:b w:val="0"/>
          <w:i w:val="0"/>
          <w:sz w:val="24"/>
          <w:rFonts w:ascii="Times New Roman" w:hAnsi="Times New Roman" w:eastAsia="宋体"/>
        </w:rPr>
        <w:t>，而不是单点算法演示。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作品形态一览</w:t>
      </w:r>
      <w:r>
        <w:rPr>
          <w:b w:val="0"/>
          <w:i w:val="0"/>
          <w:sz w:val="24"/>
          <w:rFonts w:ascii="Times New Roman" w:hAnsi="Times New Roman" w:eastAsia="宋体"/>
        </w:rPr>
        <w:t>：见【图 A】系统架构、【图 B】四段链路、【图 C】检测判据机制。</w:t>
      </w:r>
    </w:p>
    <w:p/>
    <w:p>
      <w:pPr>
        <w:pStyle w:val="Heading2"/>
      </w:pPr>
      <w:r>
        <w:t>第 2 章 项目创新内容</w:t>
      </w:r>
    </w:p>
    <w:p>
      <w:pPr>
        <w:pStyle w:val="Heading3"/>
      </w:pPr>
      <w:r>
        <w:t>2.1 项目总体思路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四段链路，每段都有明确的输入、输出与验证方式（【图 B】）：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</w:tblGrid>
      <w:tr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环节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回答的问题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方法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输出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① 检测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设备有没有异常/退化</w:t>
            </w:r>
          </w:p>
        </w:tc>
        <w:tc>
          <w:tcPr>
            <w:tcW w:type="dxa" w:w="2069"/>
          </w:tcPr>
          <w:p>
            <w:r/>
            <w:r>
              <w:rPr>
                <w:b/>
                <w:i w:val="0"/>
                <w:sz w:val="21"/>
                <w:rFonts w:ascii="Times New Roman" w:hAnsi="Times New Roman" w:eastAsia="宋体"/>
              </w:rPr>
              <w:t>双基线并行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（冻结抓慢漂移 + 短窗自适应抓突变）+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工况条件化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 + 事件机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分级告警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P1 / P2 / P3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 + 严重度（分布位置比值）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② 诊断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是什么故障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振动/电流特征 + 分类器（迁移自 CWRU 轴承基准）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部件级故障类型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③ 剩余寿命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还能撑多久</w:t>
            </w:r>
          </w:p>
        </w:tc>
        <w:tc>
          <w:tcPr>
            <w:tcW w:type="dxa" w:w="2069"/>
          </w:tcPr>
          <w:p>
            <w:r/>
            <w:r>
              <w:rPr>
                <w:b/>
                <w:i w:val="0"/>
                <w:sz w:val="21"/>
                <w:rFonts w:ascii="Times New Roman" w:hAnsi="Times New Roman" w:eastAsia="宋体"/>
              </w:rPr>
              <w:t>机理量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线性外推 +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趋势门控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 + 拟合窗长匹配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剩余天数 + 可用性判定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④ 决策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什么时候修最省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RUL 驱动排程 vs 固定周期/报警即处置；三项成本 + 蒙特卡洛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维护策略对比与节省比例</w:t>
            </w:r>
          </w:p>
        </w:tc>
      </w:tr>
    </w:tbl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七条设计原则</w:t>
      </w:r>
      <w:r>
        <w:rPr>
          <w:b w:val="0"/>
          <w:i w:val="0"/>
          <w:sz w:val="24"/>
          <w:rFonts w:ascii="Times New Roman" w:hAnsi="Times New Roman" w:eastAsia="宋体"/>
        </w:rPr>
        <w:t>（全部由本项目实验独立得出，写进了代码注释与文档，是这套系统与「拿个 AI 模型套数据」的根本区别）：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#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原则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依据（本项目的实测）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①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双基线并行：短窗自适应管突变，冻结基线管慢漂移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慢漂移场景下自适应通道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完全漏检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（两条独立物理链路都复现）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②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RUL 与严重度必须挂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机理指标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通用健康指数外推在长窗上误差 20.55 天，机理法 4.04 天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③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冻结参考域必须取自「验收合格且已进入稳态」的历史段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用投运暂态做参考：健康误报 26 / 18 / 26 次；稳态段 0 次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④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慢漂移的严重度用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分布位置统计量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（滚动中位/分位偏移）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单点越限时刻不含严重度信息（首报时刻与退化幅值无关）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⑤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阈值按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工况自身健康基线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标定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换一段进水，绝对阈值立刻失效；进一步需工况分箱与同期对拍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⑥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RUL 拟合窗必须匹配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退化时标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并带「趋势仍在下降」门控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同一告警点 5/2/1 天窗 = 269.25 / 63.30 / 46.67 天（真值 47.67）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⑦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设备级退化用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设备自身物料平衡比值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监测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整厂原始量 86.11 天仍检不出；比值通道 9.80 天检出</w:t>
            </w:r>
          </w:p>
        </w:tc>
      </w:tr>
    </w:tbl>
    <w:p>
      <w:pPr>
        <w:pStyle w:val="Heading3"/>
      </w:pPr>
      <w:r>
        <w:t>2.2 可行性分析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8157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_deplo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1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1-4　三种部署形态与数据流向（默认离线、数据不出厂）</w:t>
      </w:r>
    </w:p>
    <w:p>
      <w:pPr>
        <w:pStyle w:val="Heading4"/>
      </w:pPr>
      <w:r>
        <w:t>2.2.1 技术原理科学性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检测（【图 C】）</w:t>
      </w:r>
      <w:r>
        <w:rPr>
          <w:b w:val="0"/>
          <w:i w:val="0"/>
          <w:sz w:val="24"/>
          <w:rFonts w:ascii="Times New Roman" w:hAnsi="Times New Roman" w:eastAsia="宋体"/>
        </w:rPr>
        <w:t>：对每个测点做</w:t>
      </w:r>
      <w:r>
        <w:rPr>
          <w:b/>
          <w:i w:val="0"/>
          <w:sz w:val="24"/>
          <w:rFonts w:ascii="Times New Roman" w:hAnsi="Times New Roman" w:eastAsia="宋体"/>
        </w:rPr>
        <w:t>稳健标准化</w:t>
      </w:r>
      <w:r>
        <w:rPr>
          <w:b w:val="0"/>
          <w:i w:val="0"/>
          <w:sz w:val="24"/>
          <w:rFonts w:ascii="Times New Roman" w:hAnsi="Times New Roman" w:eastAsia="宋体"/>
        </w:rPr>
        <w:t>（中位 + 鲁棒尺度：IQR/1.349 与标准差取大者，并设尺度下限），取</w:t>
      </w:r>
      <w:r>
        <w:rPr>
          <w:b/>
          <w:i w:val="0"/>
          <w:sz w:val="24"/>
          <w:rFonts w:ascii="Times New Roman" w:hAnsi="Times New Roman" w:eastAsia="宋体"/>
        </w:rPr>
        <w:t>前 k 个最大偏离的聚合</w:t>
      </w:r>
      <w:r>
        <w:rPr>
          <w:b w:val="0"/>
          <w:i w:val="0"/>
          <w:sz w:val="24"/>
          <w:rFonts w:ascii="Times New Roman" w:hAnsi="Times New Roman" w:eastAsia="宋体"/>
        </w:rPr>
        <w:t>作为异常分数，再用</w:t>
      </w:r>
      <w:r>
        <w:rPr>
          <w:b/>
          <w:i w:val="0"/>
          <w:sz w:val="24"/>
          <w:rFonts w:ascii="Times New Roman" w:hAnsi="Times New Roman" w:eastAsia="宋体"/>
        </w:rPr>
        <w:t>事件机</w:t>
      </w:r>
      <w:r>
        <w:rPr>
          <w:b w:val="0"/>
          <w:i w:val="0"/>
          <w:sz w:val="24"/>
          <w:rFonts w:ascii="Times New Roman" w:hAnsi="Times New Roman" w:eastAsia="宋体"/>
        </w:rPr>
        <w:t>（连续 4 点进入、连续 8 点低于 0.8×阈退出、冷却 8 点）把分数变成「事件」，最后按「报警 ∧ 分布位置比值」分级为 P1/P2/P3。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为什么必须双基线</w:t>
      </w:r>
      <w:r>
        <w:rPr>
          <w:b w:val="0"/>
          <w:i w:val="0"/>
          <w:sz w:val="24"/>
          <w:rFonts w:ascii="Times New Roman" w:hAnsi="Times New Roman" w:eastAsia="宋体"/>
        </w:rPr>
        <w:t xml:space="preserve">：慢漂移会被短窗自适应基线当成「新常态」而漏检（本项目在 BSM1 与污泥线两条独立物理链路上都实测到自适应通道 </w:t>
      </w:r>
      <w:r>
        <w:rPr>
          <w:b/>
          <w:i w:val="0"/>
          <w:sz w:val="24"/>
          <w:rFonts w:ascii="Times New Roman" w:hAnsi="Times New Roman" w:eastAsia="宋体"/>
        </w:rPr>
        <w:t>0 告警</w:t>
      </w:r>
      <w:r>
        <w:rPr>
          <w:b w:val="0"/>
          <w:i w:val="0"/>
          <w:sz w:val="24"/>
          <w:rFonts w:ascii="Times New Roman" w:hAnsi="Times New Roman" w:eastAsia="宋体"/>
        </w:rPr>
        <w:t>）；反过来，固定基线在工况变化时会误报。两者互补，缺一条就会出问题。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为什么必须工况条件化</w:t>
      </w:r>
      <w:r>
        <w:rPr>
          <w:b w:val="0"/>
          <w:i w:val="0"/>
          <w:sz w:val="24"/>
          <w:rFonts w:ascii="Times New Roman" w:hAnsi="Times New Roman" w:eastAsia="宋体"/>
        </w:rPr>
        <w:t xml:space="preserve">：把进水流量按分位分箱、箱内各自标定后，健康轨迹最高分从 </w:t>
      </w:r>
      <w:r>
        <w:rPr>
          <w:b/>
          <w:i w:val="0"/>
          <w:sz w:val="24"/>
          <w:rFonts w:ascii="Times New Roman" w:hAnsi="Times New Roman" w:eastAsia="宋体"/>
        </w:rPr>
        <w:t>19.18 降到 14.86</w:t>
      </w:r>
      <w:r>
        <w:rPr>
          <w:b w:val="0"/>
          <w:i w:val="0"/>
          <w:sz w:val="24"/>
          <w:rFonts w:ascii="Times New Roman" w:hAnsi="Times New Roman" w:eastAsia="宋体"/>
        </w:rPr>
        <w:t>，说明一部分「工况事件」能被解释掉；但要彻底消除，需要</w:t>
      </w:r>
      <w:r>
        <w:rPr>
          <w:b/>
          <w:i w:val="0"/>
          <w:sz w:val="24"/>
          <w:rFonts w:ascii="Times New Roman" w:hAnsi="Times New Roman" w:eastAsia="宋体"/>
        </w:rPr>
        <w:t>同期同工况对拍差分</w:t>
      </w:r>
      <w:r>
        <w:rPr>
          <w:b w:val="0"/>
          <w:i w:val="0"/>
          <w:sz w:val="24"/>
          <w:rFonts w:ascii="Times New Roman" w:hAnsi="Times New Roman" w:eastAsia="宋体"/>
        </w:rPr>
        <w:t>（【图 26】）。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为什么原始量不够</w:t>
      </w:r>
      <w:r>
        <w:rPr>
          <w:b w:val="0"/>
          <w:i w:val="0"/>
          <w:sz w:val="24"/>
          <w:rFonts w:ascii="Times New Roman" w:hAnsi="Times New Roman" w:eastAsia="宋体"/>
        </w:rPr>
        <w:t xml:space="preserve">（本项目的重要负结果）：在官方 BSM2 整厂上注入脱水机退化，用 5 个原始可测量做监测，零误报口径要 </w:t>
      </w:r>
      <w:r>
        <w:rPr>
          <w:b/>
          <w:i w:val="0"/>
          <w:sz w:val="24"/>
          <w:rFonts w:ascii="Times New Roman" w:hAnsi="Times New Roman" w:eastAsia="宋体"/>
        </w:rPr>
        <w:t>86.11 天</w:t>
      </w:r>
      <w:r>
        <w:rPr>
          <w:b w:val="0"/>
          <w:i w:val="0"/>
          <w:sz w:val="24"/>
          <w:rFonts w:ascii="Times New Roman" w:hAnsi="Times New Roman" w:eastAsia="宋体"/>
        </w:rPr>
        <w:t xml:space="preserve">才报警 —— </w:t>
      </w:r>
      <w:r>
        <w:rPr>
          <w:b/>
          <w:i w:val="0"/>
          <w:sz w:val="24"/>
          <w:rFonts w:ascii="Times New Roman" w:hAnsi="Times New Roman" w:eastAsia="宋体"/>
        </w:rPr>
        <w:t>已晚于失效 37 天</w:t>
      </w:r>
      <w:r>
        <w:rPr>
          <w:b w:val="0"/>
          <w:i w:val="0"/>
          <w:sz w:val="24"/>
          <w:rFonts w:ascii="Times New Roman" w:hAnsi="Times New Roman" w:eastAsia="宋体"/>
        </w:rPr>
        <w:t>。原因是进水工况事件（+23.9%）先一步把阈值顶上去（【图 24】）。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RUL 的科学性</w:t>
      </w:r>
      <w:r>
        <w:rPr>
          <w:b w:val="0"/>
          <w:i w:val="0"/>
          <w:sz w:val="24"/>
          <w:rFonts w:ascii="Times New Roman" w:hAnsi="Times New Roman" w:eastAsia="宋体"/>
        </w:rPr>
        <w:t>：不把「健康指数」硬外推，而是对被监测设备的</w:t>
      </w:r>
      <w:r>
        <w:rPr>
          <w:b/>
          <w:i w:val="0"/>
          <w:sz w:val="24"/>
          <w:rFonts w:ascii="Times New Roman" w:hAnsi="Times New Roman" w:eastAsia="宋体"/>
        </w:rPr>
        <w:t>机理量</w:t>
      </w:r>
      <w:r>
        <w:rPr>
          <w:b w:val="0"/>
          <w:i w:val="0"/>
          <w:sz w:val="24"/>
          <w:rFonts w:ascii="Times New Roman" w:hAnsi="Times New Roman" w:eastAsia="宋体"/>
        </w:rPr>
        <w:t>（泥饼含固率、反应池溶解氧等）做</w:t>
      </w:r>
      <w:r>
        <w:rPr>
          <w:b/>
          <w:i w:val="0"/>
          <w:sz w:val="24"/>
          <w:rFonts w:ascii="Times New Roman" w:hAnsi="Times New Roman" w:eastAsia="宋体"/>
        </w:rPr>
        <w:t>带门控</w:t>
      </w:r>
      <w:r>
        <w:rPr>
          <w:b w:val="0"/>
          <w:i w:val="0"/>
          <w:sz w:val="24"/>
          <w:rFonts w:ascii="Times New Roman" w:hAnsi="Times New Roman" w:eastAsia="宋体"/>
        </w:rPr>
        <w:t>的线性外推；机理量未出现下降趋势时</w:t>
      </w:r>
      <w:r>
        <w:rPr>
          <w:b/>
          <w:i w:val="0"/>
          <w:sz w:val="24"/>
          <w:rFonts w:ascii="Times New Roman" w:hAnsi="Times New Roman" w:eastAsia="宋体"/>
        </w:rPr>
        <w:t>不给日期</w:t>
      </w:r>
      <w:r>
        <w:rPr>
          <w:b w:val="0"/>
          <w:i w:val="0"/>
          <w:sz w:val="24"/>
          <w:rFonts w:ascii="Times New Roman" w:hAnsi="Times New Roman" w:eastAsia="宋体"/>
        </w:rPr>
        <w:t>。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决策的科学性</w:t>
      </w:r>
      <w:r>
        <w:rPr>
          <w:b w:val="0"/>
          <w:i w:val="0"/>
          <w:sz w:val="24"/>
          <w:rFonts w:ascii="Times New Roman" w:hAnsi="Times New Roman" w:eastAsia="宋体"/>
        </w:rPr>
        <w:t>：把维护问题写成可计算的三项成本（非计划失效 / 计划更换 / 剩余寿命浪费），按退化不确定性与维护窗口做蒙特卡洛，而不是给一个「感觉更省钱」的说法。</w:t>
      </w:r>
    </w:p>
    <w:p>
      <w:pPr>
        <w:pStyle w:val="Heading4"/>
      </w:pPr>
      <w:r>
        <w:t>2.2.2 实施可行性：从数据到系统的落地路径</w:t>
      </w:r>
    </w:p>
    <w:p>
      <w:pPr>
        <w:pStyle w:val="ListNumber"/>
      </w:pPr>
      <w:r>
        <w:rPr>
          <w:b/>
          <w:i w:val="0"/>
          <w:sz w:val="24"/>
          <w:rFonts w:ascii="Times New Roman" w:hAnsi="Times New Roman" w:eastAsia="宋体"/>
        </w:rPr>
        <w:t>数据门槛低</w:t>
      </w:r>
      <w:r>
        <w:rPr>
          <w:b w:val="0"/>
          <w:i w:val="0"/>
          <w:sz w:val="24"/>
          <w:rFonts w:ascii="Times New Roman" w:hAnsi="Times New Roman" w:eastAsia="宋体"/>
        </w:rPr>
        <w:t>：只需厂里已有的运行数据导出 CSV（1 分钟或 15 分钟采样均可），无需加装传感器、无需改造 DCS；</w:t>
      </w:r>
    </w:p>
    <w:p>
      <w:pPr>
        <w:pStyle w:val="ListNumber"/>
      </w:pPr>
      <w:r>
        <w:rPr>
          <w:b/>
          <w:i w:val="0"/>
          <w:sz w:val="24"/>
          <w:rFonts w:ascii="Times New Roman" w:hAnsi="Times New Roman" w:eastAsia="宋体"/>
        </w:rPr>
        <w:t>部署门槛低</w:t>
      </w:r>
      <w:r>
        <w:rPr>
          <w:b w:val="0"/>
          <w:i w:val="0"/>
          <w:sz w:val="24"/>
          <w:rFonts w:ascii="Times New Roman" w:hAnsi="Times New Roman" w:eastAsia="宋体"/>
        </w:rPr>
        <w:t>：纯 Python + numpy/pandas，</w:t>
      </w:r>
      <w:r>
        <w:rPr>
          <w:b/>
          <w:i w:val="0"/>
          <w:sz w:val="24"/>
          <w:rFonts w:ascii="Times New Roman" w:hAnsi="Times New Roman" w:eastAsia="宋体"/>
        </w:rPr>
        <w:t>零外部依赖</w:t>
      </w:r>
      <w:r>
        <w:rPr>
          <w:b w:val="0"/>
          <w:i w:val="0"/>
          <w:sz w:val="24"/>
          <w:rFonts w:ascii="Times New Roman" w:hAnsi="Times New Roman" w:eastAsia="宋体"/>
        </w:rPr>
        <w:t>（无深度学习框架、无数据库、无云服务），可在一台离线工控机或办公电脑上运行；默认只在本机监听，</w:t>
      </w:r>
      <w:r>
        <w:rPr>
          <w:b/>
          <w:i w:val="0"/>
          <w:sz w:val="24"/>
          <w:rFonts w:ascii="Times New Roman" w:hAnsi="Times New Roman" w:eastAsia="宋体"/>
        </w:rPr>
        <w:t>数据不出厂</w:t>
      </w:r>
      <w:r>
        <w:rPr>
          <w:b w:val="0"/>
          <w:i w:val="0"/>
          <w:sz w:val="24"/>
          <w:rFonts w:ascii="Times New Roman" w:hAnsi="Times New Roman" w:eastAsia="宋体"/>
        </w:rPr>
        <w:t>（【图 D】）；</w:t>
      </w:r>
    </w:p>
    <w:p>
      <w:pPr>
        <w:pStyle w:val="ListNumber"/>
      </w:pPr>
      <w:r>
        <w:rPr>
          <w:b/>
          <w:i w:val="0"/>
          <w:sz w:val="24"/>
          <w:rFonts w:ascii="Times New Roman" w:hAnsi="Times New Roman" w:eastAsia="宋体"/>
        </w:rPr>
        <w:t>接入有工具</w:t>
      </w:r>
      <w:r>
        <w:rPr>
          <w:b w:val="0"/>
          <w:i w:val="0"/>
          <w:sz w:val="24"/>
          <w:rFonts w:ascii="Times New Roman" w:hAnsi="Times New Roman" w:eastAsia="宋体"/>
        </w:rPr>
        <w:t xml:space="preserve">：把最难的三步固定成命令 —— </w:t>
      </w:r>
      <w:r>
        <w:rPr>
          <w:b/>
          <w:i w:val="0"/>
          <w:sz w:val="24"/>
          <w:rFonts w:ascii="Times New Roman" w:hAnsi="Times New Roman" w:eastAsia="宋体"/>
        </w:rPr>
        <w:t>体检 inspect → 标定 calibrate → 分级告警 watch</w:t>
      </w:r>
      <w:r>
        <w:rPr>
          <w:b w:val="0"/>
          <w:i w:val="0"/>
          <w:sz w:val="24"/>
          <w:rFonts w:ascii="Times New Roman" w:hAnsi="Times New Roman" w:eastAsia="宋体"/>
        </w:rPr>
        <w:t>，并额外提供</w:t>
      </w:r>
      <w:r>
        <w:rPr>
          <w:b/>
          <w:i w:val="0"/>
          <w:sz w:val="24"/>
          <w:rFonts w:ascii="Times New Roman" w:hAnsi="Times New Roman" w:eastAsia="宋体"/>
        </w:rPr>
        <w:t>企业版报告 report</w:t>
      </w:r>
      <w:r>
        <w:rPr>
          <w:b w:val="0"/>
          <w:i w:val="0"/>
          <w:sz w:val="24"/>
          <w:rFonts w:ascii="Times New Roman" w:hAnsi="Times New Roman" w:eastAsia="宋体"/>
        </w:rPr>
        <w:t xml:space="preserve"> 与</w:t>
      </w:r>
      <w:r>
        <w:rPr>
          <w:b/>
          <w:i w:val="0"/>
          <w:sz w:val="24"/>
          <w:rFonts w:ascii="Times New Roman" w:hAnsi="Times New Roman" w:eastAsia="宋体"/>
        </w:rPr>
        <w:t>本地网页工作台 serve</w:t>
      </w:r>
      <w:r>
        <w:rPr>
          <w:b w:val="0"/>
          <w:i w:val="0"/>
          <w:sz w:val="24"/>
          <w:rFonts w:ascii="Times New Roman" w:hAnsi="Times New Roman" w:eastAsia="宋体"/>
        </w:rPr>
        <w:t>（【图 32】）；</w:t>
      </w:r>
    </w:p>
    <w:p>
      <w:pPr>
        <w:pStyle w:val="ListNumber"/>
      </w:pPr>
      <w:r>
        <w:rPr>
          <w:b/>
          <w:i w:val="0"/>
          <w:sz w:val="24"/>
          <w:rFonts w:ascii="Times New Roman" w:hAnsi="Times New Roman" w:eastAsia="宋体"/>
        </w:rPr>
        <w:t>已经在跑</w:t>
      </w:r>
      <w:r>
        <w:rPr>
          <w:b w:val="0"/>
          <w:i w:val="0"/>
          <w:sz w:val="24"/>
          <w:rFonts w:ascii="Times New Roman" w:hAnsi="Times New Roman" w:eastAsia="宋体"/>
        </w:rPr>
        <w:t>：工具已在 3 个数据集上实测（真实水泵台架 SKAB、真实地铁空压机 MetroPT-3、IWA 标准模型 BSM1），并在两套机理模型中完成闭环；</w:t>
      </w:r>
    </w:p>
    <w:p>
      <w:pPr>
        <w:pStyle w:val="ListNumber"/>
      </w:pPr>
      <w:r>
        <w:rPr>
          <w:b/>
          <w:i w:val="0"/>
          <w:sz w:val="24"/>
          <w:rFonts w:ascii="Times New Roman" w:hAnsi="Times New Roman" w:eastAsia="宋体"/>
        </w:rPr>
        <w:t>可复现</w:t>
      </w:r>
      <w:r>
        <w:rPr>
          <w:b w:val="0"/>
          <w:i w:val="0"/>
          <w:sz w:val="24"/>
          <w:rFonts w:ascii="Times New Roman" w:hAnsi="Times New Roman" w:eastAsia="宋体"/>
        </w:rPr>
        <w:t>：一键复现（快速 9 阶段约 20 秒 / 全量 39 阶段），所有结论都对应可追溯的结果文件；</w:t>
      </w:r>
    </w:p>
    <w:p>
      <w:pPr>
        <w:pStyle w:val="ListNumber"/>
      </w:pPr>
      <w:r>
        <w:rPr>
          <w:b/>
          <w:i w:val="0"/>
          <w:sz w:val="24"/>
          <w:rFonts w:ascii="Times New Roman" w:hAnsi="Times New Roman" w:eastAsia="宋体"/>
        </w:rPr>
        <w:t>可交付</w:t>
      </w:r>
      <w:r>
        <w:rPr>
          <w:b w:val="0"/>
          <w:i w:val="0"/>
          <w:sz w:val="24"/>
          <w:rFonts w:ascii="Times New Roman" w:hAnsi="Times New Roman" w:eastAsia="宋体"/>
        </w:rPr>
        <w:t>：企业版报告自带「数据体检 / 标定摘要 / P1·P2·P3 告警明细 / 四张图 / 口径与局限 / 复现命令」，现场可以「拿一份数据、当场出一份报告」。</w:t>
      </w:r>
    </w:p>
    <w:p>
      <w:pPr>
        <w:pStyle w:val="Heading3"/>
      </w:pPr>
      <w:r>
        <w:t>2.3 本项目的特色与创新之处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3638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_4in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1-5　真实数据四图：误报-召回 / 策略成本 / 敏感性 / RUL 散点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20215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_curve_sk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2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1-6　SKAB 检测误差权衡（DET）曲线：三种方法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5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_two_regim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1-7　消融两套阈值口径：共用硬编码阈值 vs 各自无标签标定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6819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_window_sensi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8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1-8　标定期敏感性：同一模型换健康段，阈值差 2–4 倍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创新点 1：双基线 + 工况条件化 + 对拍差分的「三层防误报」检测框架。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同一份真实数据上，与对照实现在同等召回下误报事件</w:t>
      </w:r>
      <w:r>
        <w:rPr>
          <w:b/>
          <w:i w:val="0"/>
          <w:sz w:val="24"/>
          <w:rFonts w:ascii="Times New Roman" w:hAnsi="Times New Roman" w:eastAsia="宋体"/>
        </w:rPr>
        <w:t>少 2.8 倍</w:t>
      </w:r>
      <w:r>
        <w:rPr>
          <w:b w:val="0"/>
          <w:i w:val="0"/>
          <w:sz w:val="24"/>
          <w:rFonts w:ascii="Times New Roman" w:hAnsi="Times New Roman" w:eastAsia="宋体"/>
        </w:rPr>
        <w:t>；在整厂尺度上进一步证明单靠原始量</w:t>
      </w:r>
      <w:r>
        <w:rPr>
          <w:b/>
          <w:i w:val="0"/>
          <w:sz w:val="24"/>
          <w:rFonts w:ascii="Times New Roman" w:hAnsi="Times New Roman" w:eastAsia="宋体"/>
        </w:rPr>
        <w:t>根本不够</w:t>
      </w:r>
      <w:r>
        <w:rPr>
          <w:b w:val="0"/>
          <w:i w:val="0"/>
          <w:sz w:val="24"/>
          <w:rFonts w:ascii="Times New Roman" w:hAnsi="Times New Roman" w:eastAsia="宋体"/>
        </w:rPr>
        <w:t>，必须叠加</w:t>
      </w:r>
      <w:r>
        <w:rPr>
          <w:b/>
          <w:i w:val="0"/>
          <w:sz w:val="24"/>
          <w:rFonts w:ascii="Times New Roman" w:hAnsi="Times New Roman" w:eastAsia="宋体"/>
        </w:rPr>
        <w:t>工况条件化</w:t>
      </w:r>
      <w:r>
        <w:rPr>
          <w:b w:val="0"/>
          <w:i w:val="0"/>
          <w:sz w:val="24"/>
          <w:rFonts w:ascii="Times New Roman" w:hAnsi="Times New Roman" w:eastAsia="宋体"/>
        </w:rPr>
        <w:t>与</w:t>
      </w:r>
      <w:r>
        <w:rPr>
          <w:b/>
          <w:i w:val="0"/>
          <w:sz w:val="24"/>
          <w:rFonts w:ascii="Times New Roman" w:hAnsi="Times New Roman" w:eastAsia="宋体"/>
        </w:rPr>
        <w:t>同期同工况对拍差分</w:t>
      </w:r>
      <w:r>
        <w:rPr>
          <w:b w:val="0"/>
          <w:i w:val="0"/>
          <w:sz w:val="24"/>
          <w:rFonts w:ascii="Times New Roman" w:hAnsi="Times New Roman" w:eastAsia="宋体"/>
        </w:rPr>
        <w:t>（【图 11】【图 15】【图 16】【图 26】）。这不是调参，而是机制层面的设计。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创新点 2：把「设备级物料平衡比值」作为退化监测量，并给出反例证据。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 xml:space="preserve">在官方 BSM2 整厂（含 ADM1 消化罐、二沉池 120 态）注入脱水机退化：真值失效 </w:t>
      </w:r>
      <w:r>
        <w:rPr>
          <w:b/>
          <w:i w:val="0"/>
          <w:sz w:val="24"/>
          <w:rFonts w:ascii="Times New Roman" w:hAnsi="Times New Roman" w:eastAsia="宋体"/>
        </w:rPr>
        <w:t>109.00 天</w:t>
      </w:r>
      <w:r>
        <w:rPr>
          <w:b w:val="0"/>
          <w:i w:val="0"/>
          <w:sz w:val="24"/>
          <w:rFonts w:ascii="Times New Roman" w:hAnsi="Times New Roman" w:eastAsia="宋体"/>
        </w:rPr>
        <w:t xml:space="preserve">。5 个原始量在零误报口径下要 </w:t>
      </w:r>
      <w:r>
        <w:rPr>
          <w:b/>
          <w:i w:val="0"/>
          <w:sz w:val="24"/>
          <w:rFonts w:ascii="Times New Roman" w:hAnsi="Times New Roman" w:eastAsia="宋体"/>
        </w:rPr>
        <w:t>86.11 天</w:t>
      </w:r>
      <w:r>
        <w:rPr>
          <w:b w:val="0"/>
          <w:i w:val="0"/>
          <w:sz w:val="24"/>
          <w:rFonts w:ascii="Times New Roman" w:hAnsi="Times New Roman" w:eastAsia="宋体"/>
        </w:rPr>
        <w:t>（已晚于失效）；换成「</w:t>
      </w:r>
      <w:r>
        <w:rPr>
          <w:b/>
          <w:i w:val="0"/>
          <w:sz w:val="24"/>
          <w:rFonts w:ascii="Times New Roman" w:hAnsi="Times New Roman" w:eastAsia="宋体"/>
        </w:rPr>
        <w:t>干固体产率 ÷ 湿泥饼量</w:t>
      </w:r>
      <w:r>
        <w:rPr>
          <w:b w:val="0"/>
          <w:i w:val="0"/>
          <w:sz w:val="24"/>
          <w:rFonts w:ascii="Times New Roman" w:hAnsi="Times New Roman" w:eastAsia="宋体"/>
        </w:rPr>
        <w:t xml:space="preserve">」= 泥饼含固率代理，在 2% 仪表 + 3% 日粒度实验室噪声下 </w:t>
      </w:r>
      <w:r>
        <w:rPr>
          <w:b/>
          <w:i w:val="0"/>
          <w:sz w:val="24"/>
          <w:rFonts w:ascii="Times New Roman" w:hAnsi="Times New Roman" w:eastAsia="宋体"/>
        </w:rPr>
        <w:t>9.80 天</w:t>
      </w:r>
      <w:r>
        <w:rPr>
          <w:b w:val="0"/>
          <w:i w:val="0"/>
          <w:sz w:val="24"/>
          <w:rFonts w:ascii="Times New Roman" w:hAnsi="Times New Roman" w:eastAsia="宋体"/>
        </w:rPr>
        <w:t xml:space="preserve">检出（区间 5.03–11.03）、提前 </w:t>
      </w:r>
      <w:r>
        <w:rPr>
          <w:b/>
          <w:i w:val="0"/>
          <w:sz w:val="24"/>
          <w:rFonts w:ascii="Times New Roman" w:hAnsi="Times New Roman" w:eastAsia="宋体"/>
        </w:rPr>
        <w:t>37.47 天</w:t>
      </w:r>
      <w:r>
        <w:rPr>
          <w:b w:val="0"/>
          <w:i w:val="0"/>
          <w:sz w:val="24"/>
          <w:rFonts w:ascii="Times New Roman" w:hAnsi="Times New Roman" w:eastAsia="宋体"/>
        </w:rPr>
        <w:t xml:space="preserve">；湿泥饼量增幅 </w:t>
      </w:r>
      <w:r>
        <w:rPr>
          <w:b/>
          <w:i w:val="0"/>
          <w:sz w:val="24"/>
          <w:rFonts w:ascii="Times New Roman" w:hAnsi="Times New Roman" w:eastAsia="宋体"/>
        </w:rPr>
        <w:t>+55.53%</w:t>
      </w:r>
      <w:r>
        <w:rPr>
          <w:b w:val="0"/>
          <w:i w:val="0"/>
          <w:sz w:val="24"/>
          <w:rFonts w:ascii="Times New Roman" w:hAnsi="Times New Roman" w:eastAsia="宋体"/>
        </w:rPr>
        <w:t>（理论 28/18−1 = +55.56%）。同时该退化在全厂沼气、能耗、出水水质上几乎无痕（±0.03%）—— 说明</w:t>
      </w:r>
      <w:r>
        <w:rPr>
          <w:b/>
          <w:i w:val="0"/>
          <w:sz w:val="24"/>
          <w:rFonts w:ascii="Times New Roman" w:hAnsi="Times New Roman" w:eastAsia="宋体"/>
        </w:rPr>
        <w:t>这类故障只能靠设备级量发现</w:t>
      </w:r>
      <w:r>
        <w:rPr>
          <w:b w:val="0"/>
          <w:i w:val="0"/>
          <w:sz w:val="24"/>
          <w:rFonts w:ascii="Times New Roman" w:hAnsi="Times New Roman" w:eastAsia="宋体"/>
        </w:rPr>
        <w:t>（【图 24】【图 25】）。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创新点 3：机理锚定的剩余寿命，并量化了「拟合窗」的坑。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 xml:space="preserve">同一告警点，5/2/1 天窗给 269.25 / 63.30 / </w:t>
      </w:r>
      <w:r>
        <w:rPr>
          <w:b/>
          <w:i w:val="0"/>
          <w:sz w:val="24"/>
          <w:rFonts w:ascii="Times New Roman" w:hAnsi="Times New Roman" w:eastAsia="宋体"/>
        </w:rPr>
        <w:t>46.67</w:t>
      </w:r>
      <w:r>
        <w:rPr>
          <w:b w:val="0"/>
          <w:i w:val="0"/>
          <w:sz w:val="24"/>
          <w:rFonts w:ascii="Times New Roman" w:hAnsi="Times New Roman" w:eastAsia="宋体"/>
        </w:rPr>
        <w:t xml:space="preserve"> 天（真值 47.67 天）—— 1 天窗误差 1.00 天，5 天窗误差 221.58 天；含噪后规律反转（1 天 26.47 天 → 10 天 13.85 天）。我们把这条写成规则：</w:t>
      </w:r>
      <w:r>
        <w:rPr>
          <w:b/>
          <w:i w:val="0"/>
          <w:sz w:val="24"/>
          <w:rFonts w:ascii="Times New Roman" w:hAnsi="Times New Roman" w:eastAsia="宋体"/>
        </w:rPr>
        <w:t>窗长要同时匹配退化时标与噪声水平，且必须带趋势门控</w:t>
      </w:r>
      <w:r>
        <w:rPr>
          <w:b w:val="0"/>
          <w:i w:val="0"/>
          <w:sz w:val="24"/>
          <w:rFonts w:ascii="Times New Roman" w:hAnsi="Times New Roman" w:eastAsia="宋体"/>
        </w:rPr>
        <w:t>（【图 21】）。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创新点 4：把「诚实性」做成工程能力（可核查，而非口号）。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跨实现复核</w:t>
      </w:r>
      <w:r>
        <w:rPr>
          <w:b w:val="0"/>
          <w:i w:val="0"/>
          <w:sz w:val="24"/>
          <w:rFonts w:ascii="Times New Roman" w:hAnsi="Times New Roman" w:eastAsia="宋体"/>
        </w:rPr>
        <w:t>：四轮由第二套独立实现（不同作者、不共享代码）复核我们的结论，被指出的问题全部回写 —— 包括我们自己的两个口径 bug（滚动窗误用点数、平滑误用采样点数）；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冻结前数字总检</w:t>
      </w:r>
      <w:r>
        <w:rPr>
          <w:b w:val="0"/>
          <w:i w:val="0"/>
          <w:sz w:val="24"/>
          <w:rFonts w:ascii="Times New Roman" w:hAnsi="Times New Roman" w:eastAsia="宋体"/>
        </w:rPr>
        <w:t>：脚本把每个对外数字回溯到结果文件并在文档中检索一致性，</w:t>
      </w:r>
      <w:r>
        <w:rPr>
          <w:b/>
          <w:i w:val="0"/>
          <w:sz w:val="24"/>
          <w:rFonts w:ascii="Times New Roman" w:hAnsi="Times New Roman" w:eastAsia="宋体"/>
        </w:rPr>
        <w:t>30/30 通过</w:t>
      </w:r>
      <w:r>
        <w:rPr>
          <w:b w:val="0"/>
          <w:i w:val="0"/>
          <w:sz w:val="24"/>
          <w:rFonts w:ascii="Times New Roman" w:hAnsi="Times New Roman" w:eastAsia="宋体"/>
        </w:rPr>
        <w:t>；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口径与限定词</w:t>
      </w:r>
      <w:r>
        <w:rPr>
          <w:b w:val="0"/>
          <w:i w:val="0"/>
          <w:sz w:val="24"/>
          <w:rFonts w:ascii="Times New Roman" w:hAnsi="Times New Roman" w:eastAsia="宋体"/>
        </w:rPr>
        <w:t>：每份材料都写明「本模型 / 本轨迹 / 本噪声结构 / 本阈值口径」，并列出不可外推项（附录 C）。</w:t>
      </w:r>
    </w:p>
    <w:p>
      <w:pPr>
        <w:pStyle w:val="Heading3"/>
      </w:pPr>
      <w:r>
        <w:t>2.4 预测内容与预期成效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36387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4in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1-9　BSM1 数字孪生闭环四图：注入 → 检测 → RUL → 决策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11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sweep_3in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1-10　BSM1 退化幅值-斜率扫描：首报与幅值无关（严重度需另算）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85981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influent_robustn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59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1-11　进水工况泛化：绝对阈值跨工况失效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111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rain_st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1-12　雨/暴雨冲击工况：工况事件必须单独处理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5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ratio_ru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1-13　比值判据跨工况检验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指标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现状（公开数据 / 仿真）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试点验证方式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退化检出延迟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设备级比值量约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10 天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（含噪中位；理想单元上界 0.04 天）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现场同一台设备的真实退化事件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失效前提前量</w:t>
            </w:r>
          </w:p>
        </w:tc>
        <w:tc>
          <w:tcPr>
            <w:tcW w:type="dxa" w:w="2759"/>
          </w:tcPr>
          <w:p>
            <w:r/>
            <w:r>
              <w:rPr>
                <w:b/>
                <w:i w:val="0"/>
                <w:sz w:val="21"/>
                <w:rFonts w:ascii="Times New Roman" w:hAnsi="Times New Roman" w:eastAsia="宋体"/>
              </w:rPr>
              <w:t>35–37 天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（污泥线脱水机场景，【图 21】）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与检修台账对齐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误报强度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真实空压机 214 天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105 个告警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（P1 56 / P2 30 / P3 19）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每月误报数与现场处置记录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RUL 误差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孪生机理 RUL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1.00–4.04 天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与真实更换时间比较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决策效果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C-MAPSS 省约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16%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（12/15 格）；污泥线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24.5%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（9/9 格），非计划失效 0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用现场成本参数重算</w:t>
            </w:r>
          </w:p>
        </w:tc>
      </w:tr>
    </w:tbl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预期成效（试点 1 台设备、3–6 个月）</w:t>
      </w:r>
      <w:r>
        <w:rPr>
          <w:b w:val="0"/>
          <w:i w:val="0"/>
          <w:sz w:val="24"/>
          <w:rFonts w:ascii="Times New Roman" w:hAnsi="Times New Roman" w:eastAsia="宋体"/>
        </w:rPr>
        <w:t>：把「坏了才修」变成「按剩余寿命排计划」，减少非计划停机与备件浪费。</w:t>
      </w:r>
      <w:r>
        <w:rPr>
          <w:b/>
          <w:i w:val="0"/>
          <w:sz w:val="24"/>
          <w:rFonts w:ascii="Times New Roman" w:hAnsi="Times New Roman" w:eastAsia="宋体"/>
        </w:rPr>
        <w:t>注意：成本与收益金额必须用现场成本参数重新标定后才能对外。</w:t>
      </w:r>
    </w:p>
    <w:p/>
    <w:p>
      <w:pPr>
        <w:pStyle w:val="Heading2"/>
      </w:pPr>
      <w:r>
        <w:t>第 3 章 实施方案</w:t>
      </w:r>
    </w:p>
    <w:p>
      <w:pPr>
        <w:pStyle w:val="Heading3"/>
      </w:pPr>
      <w:r>
        <w:t>3.1 系统架构（四层）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4222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line_g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22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1-14　在线因果 RUL 门禁：判据与误挂率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6118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line_cha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1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1-15　在线链路多轨迹：门禁挂载与在线 RUL 可算性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层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内容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交付物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数据层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现场 CSV 导出（时间戳 + 模拟量 + 状态列）；体检与清洗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inspect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算法层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双基线检测 / 工况条件化 / 事件机 / 诊断 / 机理 RUL / 维护决策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研究链路脚本（可复现）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服务层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本地网页工作台、命令行工具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serve / CLI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交付层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企业版报告、演示页与演示台、复现包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report.html / Pages / run_all.py</w:t>
            </w:r>
          </w:p>
        </w:tc>
      </w:tr>
    </w:tbl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（架构图见【图 A】，部署与数据流见【图 D】。）</w:t>
      </w:r>
    </w:p>
    <w:p>
      <w:pPr>
        <w:pStyle w:val="Heading3"/>
      </w:pPr>
      <w:r>
        <w:t>3.2 核心模块设计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5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strate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1-16　组合报警策略（单点/比值/并集/与门）对比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281571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udge_line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1-17　污泥线闭环（路线 A）：含固率、湿泥饼量、滤液与检测分数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111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udge_swee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1-18　污泥线幅值/速率扫描：8 场景首报一致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111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udge_decis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1-19　维护策略对比：RUL 驱动 vs 固定周期（占位成本）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① 检测模块</w:t>
      </w:r>
    </w:p>
    <w:p>
      <w:pPr>
        <w:pStyle w:val="ListBullet"/>
      </w:pPr>
      <w:r>
        <w:rPr>
          <w:b w:val="0"/>
          <w:i w:val="0"/>
          <w:sz w:val="24"/>
          <w:rFonts w:ascii="Times New Roman" w:hAnsi="Times New Roman" w:eastAsia="宋体"/>
        </w:rPr>
        <w:t>输入：测点序列（可含状态列）；输出：分级告警事件流（起点、结束、持续分钟、来源通道、峰值分数、判据阈值、分布位置比值、等级）；</w:t>
      </w:r>
    </w:p>
    <w:p>
      <w:pPr>
        <w:pStyle w:val="ListBullet"/>
      </w:pPr>
      <w:r>
        <w:rPr>
          <w:b w:val="0"/>
          <w:i w:val="0"/>
          <w:sz w:val="24"/>
          <w:rFonts w:ascii="Times New Roman" w:hAnsi="Times New Roman" w:eastAsia="宋体"/>
        </w:rPr>
        <w:t>关键参数：冻结参考窗（稳态段）、工况分层（状态列 / 时段 / 负荷分位）、事件机（4 / 8 / 0.8 / 8）、分位阈值（默认 0.999）；</w:t>
      </w:r>
    </w:p>
    <w:p>
      <w:pPr>
        <w:pStyle w:val="ListBullet"/>
      </w:pPr>
      <w:r>
        <w:rPr>
          <w:b w:val="0"/>
          <w:i w:val="0"/>
          <w:sz w:val="24"/>
          <w:rFonts w:ascii="Times New Roman" w:hAnsi="Times New Roman" w:eastAsia="宋体"/>
        </w:rPr>
        <w:t xml:space="preserve">验证：真实空压机 214 天 </w:t>
      </w:r>
      <w:r>
        <w:rPr>
          <w:b/>
          <w:i w:val="0"/>
          <w:sz w:val="24"/>
          <w:rFonts w:ascii="Times New Roman" w:hAnsi="Times New Roman" w:eastAsia="宋体"/>
        </w:rPr>
        <w:t>105 个告警</w:t>
      </w:r>
      <w:r>
        <w:rPr>
          <w:b w:val="0"/>
          <w:i w:val="0"/>
          <w:sz w:val="24"/>
          <w:rFonts w:ascii="Times New Roman" w:hAnsi="Times New Roman" w:eastAsia="宋体"/>
        </w:rPr>
        <w:t>；BSM1 上工具与研究链路首报</w:t>
      </w:r>
      <w:r>
        <w:rPr>
          <w:b/>
          <w:i w:val="0"/>
          <w:sz w:val="24"/>
          <w:rFonts w:ascii="Times New Roman" w:hAnsi="Times New Roman" w:eastAsia="宋体"/>
        </w:rPr>
        <w:t>完全一致</w:t>
      </w:r>
      <w:r>
        <w:rPr>
          <w:b w:val="0"/>
          <w:i w:val="0"/>
          <w:sz w:val="24"/>
          <w:rFonts w:ascii="Times New Roman" w:hAnsi="Times New Roman" w:eastAsia="宋体"/>
        </w:rPr>
        <w:t>（40.28 天）；</w:t>
      </w:r>
    </w:p>
    <w:p>
      <w:pPr>
        <w:pStyle w:val="ListBullet"/>
      </w:pPr>
      <w:r>
        <w:rPr>
          <w:b w:val="0"/>
          <w:i w:val="0"/>
          <w:sz w:val="24"/>
          <w:rFonts w:ascii="Times New Roman" w:hAnsi="Times New Roman" w:eastAsia="宋体"/>
        </w:rPr>
        <w:t>已知边界：慢漂移下自适应通道漏检；工况变化下固定参考域误报（【图 10】【图 14】）。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② 诊断模块</w:t>
      </w:r>
      <w:r>
        <w:rPr>
          <w:b w:val="0"/>
          <w:i w:val="0"/>
          <w:sz w:val="24"/>
          <w:rFonts w:ascii="Times New Roman" w:hAnsi="Times New Roman" w:eastAsia="宋体"/>
        </w:rPr>
        <w:t xml:space="preserve">：CWRU 轴承基准上，同记录/跨转速 宏F1 </w:t>
      </w:r>
      <w:r>
        <w:rPr>
          <w:b/>
          <w:i w:val="0"/>
          <w:sz w:val="24"/>
          <w:rFonts w:ascii="Times New Roman" w:hAnsi="Times New Roman" w:eastAsia="宋体"/>
        </w:rPr>
        <w:t>1.000</w:t>
      </w:r>
      <w:r>
        <w:rPr>
          <w:b w:val="0"/>
          <w:i w:val="0"/>
          <w:sz w:val="24"/>
          <w:rFonts w:ascii="Times New Roman" w:hAnsi="Times New Roman" w:eastAsia="宋体"/>
        </w:rPr>
        <w:t xml:space="preserve">，跨故障尺寸 </w:t>
      </w:r>
      <w:r>
        <w:rPr>
          <w:b/>
          <w:i w:val="0"/>
          <w:sz w:val="24"/>
          <w:rFonts w:ascii="Times New Roman" w:hAnsi="Times New Roman" w:eastAsia="宋体"/>
        </w:rPr>
        <w:t>0.536</w:t>
      </w:r>
      <w:r>
        <w:rPr>
          <w:b w:val="0"/>
          <w:i w:val="0"/>
          <w:sz w:val="24"/>
          <w:rFonts w:ascii="Times New Roman" w:hAnsi="Times New Roman" w:eastAsia="宋体"/>
        </w:rPr>
        <w:t>（边界已标注）；下一步是与水务设备语义（轴承/叶轮/密封/气蚀）的映射。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③ 剩余寿命模块</w:t>
      </w:r>
      <w:r>
        <w:rPr>
          <w:b w:val="0"/>
          <w:i w:val="0"/>
          <w:sz w:val="24"/>
          <w:rFonts w:ascii="Times New Roman" w:hAnsi="Times New Roman" w:eastAsia="宋体"/>
        </w:rPr>
        <w:t xml:space="preserve">：C-MAPSS 涡扇基准 GBR RMSE </w:t>
      </w:r>
      <w:r>
        <w:rPr>
          <w:b/>
          <w:i w:val="0"/>
          <w:sz w:val="24"/>
          <w:rFonts w:ascii="Times New Roman" w:hAnsi="Times New Roman" w:eastAsia="宋体"/>
        </w:rPr>
        <w:t>15.27</w:t>
      </w:r>
      <w:r>
        <w:rPr>
          <w:b w:val="0"/>
          <w:i w:val="0"/>
          <w:sz w:val="24"/>
          <w:rFonts w:ascii="Times New Roman" w:hAnsi="Times New Roman" w:eastAsia="宋体"/>
        </w:rPr>
        <w:t xml:space="preserve">（PHM08 </w:t>
      </w:r>
      <w:r>
        <w:rPr>
          <w:b/>
          <w:i w:val="0"/>
          <w:sz w:val="24"/>
          <w:rFonts w:ascii="Times New Roman" w:hAnsi="Times New Roman" w:eastAsia="宋体"/>
        </w:rPr>
        <w:t>434</w:t>
      </w:r>
      <w:r>
        <w:rPr>
          <w:b w:val="0"/>
          <w:i w:val="0"/>
          <w:sz w:val="24"/>
          <w:rFonts w:ascii="Times New Roman" w:hAnsi="Times New Roman" w:eastAsia="宋体"/>
        </w:rPr>
        <w:t>，第二套实现偏差 2.4%）；孪生场景机理 RUL 误差 1.00–4.04 天；输出附「趋势是否仍在下降」门控与窗长选择规则。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④ 决策模块</w:t>
      </w:r>
      <w:r>
        <w:rPr>
          <w:b w:val="0"/>
          <w:i w:val="0"/>
          <w:sz w:val="24"/>
          <w:rFonts w:ascii="Times New Roman" w:hAnsi="Times New Roman" w:eastAsia="宋体"/>
        </w:rPr>
        <w:t xml:space="preserve">：维护策略对比（固定周期 / 报警即处置 / RUL 驱动 / 纯失效驱动），C-MAPSS 上省约 </w:t>
      </w:r>
      <w:r>
        <w:rPr>
          <w:b/>
          <w:i w:val="0"/>
          <w:sz w:val="24"/>
          <w:rFonts w:ascii="Times New Roman" w:hAnsi="Times New Roman" w:eastAsia="宋体"/>
        </w:rPr>
        <w:t>16%</w:t>
      </w:r>
      <w:r>
        <w:rPr>
          <w:b w:val="0"/>
          <w:i w:val="0"/>
          <w:sz w:val="24"/>
          <w:rFonts w:ascii="Times New Roman" w:hAnsi="Times New Roman" w:eastAsia="宋体"/>
        </w:rPr>
        <w:t xml:space="preserve">（15 格胜 12 格），污泥线脱水机省 </w:t>
      </w:r>
      <w:r>
        <w:rPr>
          <w:b/>
          <w:i w:val="0"/>
          <w:sz w:val="24"/>
          <w:rFonts w:ascii="Times New Roman" w:hAnsi="Times New Roman" w:eastAsia="宋体"/>
        </w:rPr>
        <w:t>24.5%</w:t>
      </w:r>
      <w:r>
        <w:rPr>
          <w:b w:val="0"/>
          <w:i w:val="0"/>
          <w:sz w:val="24"/>
          <w:rFonts w:ascii="Times New Roman" w:hAnsi="Times New Roman" w:eastAsia="宋体"/>
        </w:rPr>
        <w:t>（9/9 格胜）、非计划失效 0（【图 23】）。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⑤ 接入标定工具（lanmai CLI）</w:t>
      </w:r>
      <w:r>
        <w:rPr>
          <w:b w:val="0"/>
          <w:i w:val="0"/>
          <w:sz w:val="24"/>
          <w:rFonts w:ascii="Times New Roman" w:hAnsi="Times New Roman" w:eastAsia="宋体"/>
        </w:rPr>
        <w:t>：六个子命令（inspect / calibrate / watch / report / serve / selftest）；支持</w:t>
      </w:r>
      <w:r>
        <w:rPr>
          <w:b/>
          <w:i w:val="0"/>
          <w:sz w:val="24"/>
          <w:rFonts w:ascii="Times New Roman" w:hAnsi="Times New Roman" w:eastAsia="宋体"/>
        </w:rPr>
        <w:t>多段健康期标定</w:t>
      </w:r>
      <w:r>
        <w:rPr>
          <w:b w:val="0"/>
          <w:i w:val="0"/>
          <w:sz w:val="24"/>
          <w:rFonts w:ascii="Times New Roman" w:hAnsi="Times New Roman" w:eastAsia="宋体"/>
        </w:rPr>
        <w:t xml:space="preserve">（同一批数据用不同健康段标定，阈值可差 </w:t>
      </w:r>
      <w:r>
        <w:rPr>
          <w:b/>
          <w:i w:val="0"/>
          <w:sz w:val="24"/>
          <w:rFonts w:ascii="Times New Roman" w:hAnsi="Times New Roman" w:eastAsia="宋体"/>
        </w:rPr>
        <w:t>2–4 倍</w:t>
      </w:r>
      <w:r>
        <w:rPr>
          <w:b w:val="0"/>
          <w:i w:val="0"/>
          <w:sz w:val="24"/>
          <w:rFonts w:ascii="Times New Roman" w:hAnsi="Times New Roman" w:eastAsia="宋体"/>
        </w:rPr>
        <w:t>，因此必须多段，【图 11】）；参考窗有趋势时主动告警。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⑥ 企业版报告与本地工作台</w:t>
      </w:r>
      <w:r>
        <w:rPr>
          <w:b w:val="0"/>
          <w:i w:val="0"/>
          <w:sz w:val="24"/>
          <w:rFonts w:ascii="Times New Roman" w:hAnsi="Times New Roman" w:eastAsia="宋体"/>
        </w:rPr>
        <w:t>：报告把「体检 / 标定 / P1·P2·P3 / 四图 / 口径与局限 / 复现命令」渲染成</w:t>
      </w:r>
      <w:r>
        <w:rPr>
          <w:b/>
          <w:i w:val="0"/>
          <w:sz w:val="24"/>
          <w:rFonts w:ascii="Times New Roman" w:hAnsi="Times New Roman" w:eastAsia="宋体"/>
        </w:rPr>
        <w:t>自包含单文件 HTML</w:t>
      </w:r>
      <w:r>
        <w:rPr>
          <w:b w:val="0"/>
          <w:i w:val="0"/>
          <w:sz w:val="24"/>
          <w:rFonts w:ascii="Times New Roman" w:hAnsi="Times New Roman" w:eastAsia="宋体"/>
        </w:rPr>
        <w:t>（【图 31】）；工作台让现场同事</w:t>
      </w:r>
      <w:r>
        <w:rPr>
          <w:b/>
          <w:i w:val="0"/>
          <w:sz w:val="24"/>
          <w:rFonts w:ascii="Times New Roman" w:hAnsi="Times New Roman" w:eastAsia="宋体"/>
        </w:rPr>
        <w:t>在浏览器里上传 CSV 就能出报告</w:t>
      </w:r>
      <w:r>
        <w:rPr>
          <w:b w:val="0"/>
          <w:i w:val="0"/>
          <w:sz w:val="24"/>
          <w:rFonts w:ascii="Times New Roman" w:hAnsi="Times New Roman" w:eastAsia="宋体"/>
        </w:rPr>
        <w:t>（【图 32】）。</w:t>
      </w:r>
    </w:p>
    <w:p>
      <w:pPr>
        <w:pStyle w:val="Heading3"/>
      </w:pPr>
      <w:r>
        <w:t>3.3 技术路线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 xml:space="preserve">数据获取（现场导出 / 公开数据）→ 数据体检与清洗 → </w:t>
      </w:r>
      <w:r>
        <w:rPr>
          <w:b/>
          <w:i w:val="0"/>
          <w:sz w:val="24"/>
          <w:rFonts w:ascii="Times New Roman" w:hAnsi="Times New Roman" w:eastAsia="宋体"/>
        </w:rPr>
        <w:t>健康期标定</w:t>
      </w:r>
      <w:r>
        <w:rPr>
          <w:b w:val="0"/>
          <w:i w:val="0"/>
          <w:sz w:val="24"/>
          <w:rFonts w:ascii="Times New Roman" w:hAnsi="Times New Roman" w:eastAsia="宋体"/>
        </w:rPr>
        <w:t xml:space="preserve">（多段 + 工况分层）→ </w:t>
      </w:r>
      <w:r>
        <w:rPr>
          <w:b/>
          <w:i w:val="0"/>
          <w:sz w:val="24"/>
          <w:rFonts w:ascii="Times New Roman" w:hAnsi="Times New Roman" w:eastAsia="宋体"/>
        </w:rPr>
        <w:t>在线检测</w:t>
      </w:r>
      <w:r>
        <w:rPr>
          <w:b w:val="0"/>
          <w:i w:val="0"/>
          <w:sz w:val="24"/>
          <w:rFonts w:ascii="Times New Roman" w:hAnsi="Times New Roman" w:eastAsia="宋体"/>
        </w:rPr>
        <w:t xml:space="preserve">（双基线 + 事件机 + 分级）→ 诊断（部件级）→ </w:t>
      </w:r>
      <w:r>
        <w:rPr>
          <w:b/>
          <w:i w:val="0"/>
          <w:sz w:val="24"/>
          <w:rFonts w:ascii="Times New Roman" w:hAnsi="Times New Roman" w:eastAsia="宋体"/>
        </w:rPr>
        <w:t>机理 RUL</w:t>
      </w:r>
      <w:r>
        <w:rPr>
          <w:b w:val="0"/>
          <w:i w:val="0"/>
          <w:sz w:val="24"/>
          <w:rFonts w:ascii="Times New Roman" w:hAnsi="Times New Roman" w:eastAsia="宋体"/>
        </w:rPr>
        <w:t xml:space="preserve">（门控 + 窗长）→ </w:t>
      </w:r>
      <w:r>
        <w:rPr>
          <w:b/>
          <w:i w:val="0"/>
          <w:sz w:val="24"/>
          <w:rFonts w:ascii="Times New Roman" w:hAnsi="Times New Roman" w:eastAsia="宋体"/>
        </w:rPr>
        <w:t>维护决策</w:t>
      </w:r>
      <w:r>
        <w:rPr>
          <w:b w:val="0"/>
          <w:i w:val="0"/>
          <w:sz w:val="24"/>
          <w:rFonts w:ascii="Times New Roman" w:hAnsi="Times New Roman" w:eastAsia="宋体"/>
        </w:rPr>
        <w:t>（成本模型）→ 回测（与检修台账比对）→ 迭代。</w:t>
      </w:r>
    </w:p>
    <w:p>
      <w:pPr>
        <w:pStyle w:val="Heading3"/>
      </w:pPr>
      <w:r>
        <w:t>3.4 实验与验证手段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342782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dete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2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1-20　BSM2 整厂退化：原始量检不出、设备级比值通道可检出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224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swee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2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1-21　整厂幅值/速率扫描：延迟随速率与幅值单调变化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</w:tblGrid>
      <w:tr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数据/模型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类型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用途</w:t>
            </w:r>
          </w:p>
        </w:tc>
        <w:tc>
          <w:tcPr>
            <w:tcW w:type="dxa" w:w="206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关键结果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SKAB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真实水泵台架（人工注入故障）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异常检测主实验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三方法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双实现零偏差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；DET 曲线定稿（【图 9】）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MetroPT-3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真实地铁空压机，214 天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真实故障验证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及时命中 2/4（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标签辅助选点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）；无标签口径 0/4，如实声明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CWRU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真实轴承实验台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故障诊断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同记录/跨转速 1.000；跨尺寸 0.536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C-MAPSS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真实基准（仿真退化）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剩余寿命与决策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RMSE 15.27 / 省约 16%（【图 8】）</w:t>
            </w:r>
          </w:p>
        </w:tc>
      </w:tr>
      <w:tr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BSM1 / BSM2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IWA 标准机理模型（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仿真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闭环验证（有真值）</w:t>
            </w:r>
          </w:p>
        </w:tc>
        <w:tc>
          <w:tcPr>
            <w:tcW w:type="dxa" w:w="206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闭环 + 工况/雨暴雨 + 双基线 + 多轨迹 + 在线门禁 + 污泥线 + 整厂（【图 12–20】【图 21–28】）</w:t>
            </w:r>
          </w:p>
        </w:tc>
      </w:tr>
    </w:tbl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验证纪律</w:t>
      </w:r>
      <w:r>
        <w:rPr>
          <w:b w:val="0"/>
          <w:i w:val="0"/>
          <w:sz w:val="24"/>
          <w:rFonts w:ascii="Times New Roman" w:hAnsi="Times New Roman" w:eastAsia="宋体"/>
        </w:rPr>
        <w:t>：① 每个结论都要有第二套独立实现复核（已四轮，台账见 PROJECT_STATE 第 19/26/28/31 节）；② 数字必须能从结果文件复算（总检 30/30）；③ 仿真一律标注仿真。</w:t>
      </w:r>
    </w:p>
    <w:p>
      <w:pPr>
        <w:pStyle w:val="Heading3"/>
      </w:pPr>
      <w:r>
        <w:t>3.5 关键技术方案（难点 → 对策）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7895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con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1-22　补强①：工况条件化与同工况对拍差分的延迟对比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789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seaso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1-23　跨相位稳健性：三个进水相位结论一致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79093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drif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90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1-24　补强②：标定漂移的结构 × 幅度 × 缓解手段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难点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对策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证据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慢漂移 vs 工况漂移混在一起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双基线并行 → 工况分箱条件化 → 同期同工况对拍差分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【图 11】【图 14】【图 26】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参考段选不干净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工具主动检测参考窗趋势并告警；要求多段健康期标定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【图 11】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假 RUL（把传感器漂移当设备退化）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多源冗余（在线密度计 + 实验室）+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独立漂移监控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；RUL 只挂机理量且带趋势门控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【图 28】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判据处在刀锋边缘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明确标注（例：在线门禁分布位置比 1.250487 vs 阈值 1.25），不把边缘结果当稳定性能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【图 19】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成本无法引用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提供可参数化成本模型；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未标定前一律标注占位值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【图 23】</w:t>
            </w:r>
          </w:p>
        </w:tc>
      </w:tr>
    </w:tbl>
    <w:p>
      <w:pPr>
        <w:pStyle w:val="Heading3"/>
      </w:pPr>
      <w:r>
        <w:t>3.6 实现形态与使用说明（现场怎么用）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547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_workbench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1-25　本地工作台：上传 CSV → 标定基线 → 出报告（数据不出本机）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00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8_report_metro_alarm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1-26　报告·分级告警明细（P1/P2/P3）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446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_report_metro_kp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1-27　报告·体检与标定摘要（含参考窗健康度提示）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446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_report_metro_t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1-28　报告·图表与口径局限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3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_report_bsm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1-29　企业版报告（BSM1 仿真）：相对时间按「第 X 天」呈现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3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_report_metropt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1-30　企业版报告（真实空压机 MetroPT-3）首屏：KPI 与数据体检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152901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_poc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1-31　现场试点（POC）四步走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A. 三种上手方式（Windows / PowerShell 实测）</w:t>
      </w:r>
    </w:p>
    <w:p>
      <w:pPr>
        <w:pStyle w:val="ListNumber"/>
      </w:pPr>
      <w:r>
        <w:rPr>
          <w:b w:val="0"/>
          <w:i w:val="0"/>
          <w:sz w:val="24"/>
          <w:rFonts w:ascii="Times New Roman" w:hAnsi="Times New Roman" w:eastAsia="宋体"/>
        </w:rPr>
        <w:t xml:space="preserve">双击仓库根目录的 </w:t>
      </w:r>
      <w:r>
        <w:rPr>
          <w:b/>
          <w:i w:val="0"/>
          <w:sz w:val="24"/>
          <w:rFonts w:ascii="Times New Roman" w:hAnsi="Times New Roman" w:eastAsia="宋体"/>
        </w:rPr>
        <w:t>start_lanmai.cmd</w:t>
      </w:r>
      <w:r>
        <w:rPr>
          <w:b w:val="0"/>
          <w:i w:val="0"/>
          <w:sz w:val="24"/>
          <w:rFonts w:ascii="Times New Roman" w:hAnsi="Times New Roman" w:eastAsia="宋体"/>
        </w:rPr>
        <w:t>（自动起本地工作台并打开浏览器）；</w:t>
      </w:r>
    </w:p>
    <w:p>
      <w:pPr>
        <w:pStyle w:val="ListNumber"/>
      </w:pPr>
      <w:r>
        <w:rPr>
          <w:b w:val="0"/>
          <w:i w:val="0"/>
          <w:sz w:val="24"/>
          <w:rFonts w:ascii="Times New Roman" w:hAnsi="Times New Roman" w:eastAsia="宋体"/>
        </w:rPr>
        <w:t xml:space="preserve">命令行：进入项目目录后运行 </w:t>
      </w:r>
      <w:r>
        <w:rPr>
          <w:b/>
          <w:i w:val="0"/>
          <w:sz w:val="24"/>
          <w:rFonts w:ascii="Times New Roman" w:hAnsi="Times New Roman" w:eastAsia="宋体"/>
        </w:rPr>
        <w:t>python run_lanmai.py serve --open</w:t>
      </w:r>
      <w:r>
        <w:rPr>
          <w:b w:val="0"/>
          <w:i w:val="0"/>
          <w:sz w:val="24"/>
          <w:rFonts w:ascii="Times New Roman" w:hAnsi="Times New Roman" w:eastAsia="宋体"/>
        </w:rPr>
        <w:t>（无需配置任何环境变量）；</w:t>
      </w:r>
    </w:p>
    <w:p>
      <w:pPr>
        <w:pStyle w:val="ListNumber"/>
      </w:pPr>
      <w:r>
        <w:rPr>
          <w:b w:val="0"/>
          <w:i w:val="0"/>
          <w:sz w:val="24"/>
          <w:rFonts w:ascii="Times New Roman" w:hAnsi="Times New Roman" w:eastAsia="宋体"/>
        </w:rPr>
        <w:t>（可选）安装成工具：</w:t>
      </w:r>
      <w:r>
        <w:rPr>
          <w:b/>
          <w:i w:val="0"/>
          <w:sz w:val="24"/>
          <w:rFonts w:ascii="Times New Roman" w:hAnsi="Times New Roman" w:eastAsia="宋体"/>
        </w:rPr>
        <w:t>python -m pip install -e . --no-build-isolation</w:t>
      </w:r>
      <w:r>
        <w:rPr>
          <w:b w:val="0"/>
          <w:i w:val="0"/>
          <w:sz w:val="24"/>
          <w:rFonts w:ascii="Times New Roman" w:hAnsi="Times New Roman" w:eastAsia="宋体"/>
        </w:rPr>
        <w:t xml:space="preserve">，之后任何目录都能用 </w:t>
      </w:r>
      <w:r>
        <w:rPr>
          <w:b/>
          <w:i w:val="0"/>
          <w:sz w:val="24"/>
          <w:rFonts w:ascii="Times New Roman" w:hAnsi="Times New Roman" w:eastAsia="宋体"/>
        </w:rPr>
        <w:t>python -m lanmai ...</w:t>
      </w:r>
      <w:r>
        <w:rPr>
          <w:b w:val="0"/>
          <w:i w:val="0"/>
          <w:sz w:val="24"/>
          <w:rFonts w:ascii="Times New Roman" w:hAnsi="Times New Roman" w:eastAsia="宋体"/>
        </w:rPr>
        <w:t xml:space="preserve"> 或 </w:t>
      </w:r>
      <w:r>
        <w:rPr>
          <w:b/>
          <w:i w:val="0"/>
          <w:sz w:val="24"/>
          <w:rFonts w:ascii="Times New Roman" w:hAnsi="Times New Roman" w:eastAsia="宋体"/>
        </w:rPr>
        <w:t>lanmai ...</w:t>
      </w:r>
      <w:r>
        <w:rPr>
          <w:b w:val="0"/>
          <w:i w:val="0"/>
          <w:sz w:val="24"/>
          <w:rFonts w:ascii="Times New Roman" w:hAnsi="Times New Roman" w:eastAsia="宋体"/>
        </w:rPr>
        <w:t>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B. 命令参考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命令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做什么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常用参数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lanmai inspect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数据体检：行数、采样间隔、缺失率、零方差通道、通道统计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--data --time --resample --channels --out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lanmai calibrate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健康期标定：冻结基线 + 工况分层 + 阈值（支持多段）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--state {none,hour,col,quantile} --state-col --ref --ref-segments --thr-policy {median,upper} --q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lanmai watch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输出分级告警流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--baseline --out --warmup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lanmai report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生成企业版报告（单文件 HTML）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--baseline --out --warmup --resample --max-alarms --no-fig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lanmai serve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本地工作台（浏览器上传 CSV）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--host --port --out-dir --demo-dir --open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lanmai selftest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冒烟自检（合成阶跃 + 慢漂移 + 回归检查）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—</w:t>
            </w:r>
          </w:p>
        </w:tc>
      </w:tr>
    </w:tbl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具体调用示例（四步）：</w:t>
      </w:r>
    </w:p>
    <w:p>
      <w:r>
        <w:rPr>
          <w:b w:val="0"/>
          <w:i w:val="0"/>
          <w:sz w:val="18"/>
          <w:rFonts w:ascii="Consolas" w:hAnsi="Consolas" w:eastAsia="Consolas"/>
        </w:rPr>
        <w:t>python -m lanmai inspect   --data 现场导出.csv</w:t>
      </w:r>
    </w:p>
    <w:p>
      <w:r>
        <w:rPr>
          <w:b w:val="0"/>
          <w:i w:val="0"/>
          <w:sz w:val="18"/>
          <w:rFonts w:ascii="Consolas" w:hAnsi="Consolas" w:eastAsia="Consolas"/>
        </w:rPr>
        <w:t>python -m lanmai calibrate --data 健康期.csv --out baseline.json --state hour --ref 0,0.3</w:t>
      </w:r>
    </w:p>
    <w:p>
      <w:r>
        <w:rPr>
          <w:b w:val="0"/>
          <w:i w:val="0"/>
          <w:sz w:val="18"/>
          <w:rFonts w:ascii="Consolas" w:hAnsi="Consolas" w:eastAsia="Consolas"/>
        </w:rPr>
        <w:t>python -m lanmai watch     --data 待监测.csv --baseline baseline.json --out alarms.csv --warmup 1D</w:t>
      </w:r>
    </w:p>
    <w:p>
      <w:r>
        <w:rPr>
          <w:b w:val="0"/>
          <w:i w:val="0"/>
          <w:sz w:val="18"/>
          <w:rFonts w:ascii="Consolas" w:hAnsi="Consolas" w:eastAsia="Consolas"/>
        </w:rPr>
        <w:t>python -m lanmai report    --data 待监测.csv --baseline baseline.json --out report.html --warmup 1D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C. 本地工作台六步操作</w:t>
      </w:r>
      <w:r>
        <w:rPr>
          <w:b w:val="0"/>
          <w:i w:val="0"/>
          <w:sz w:val="24"/>
          <w:rFonts w:ascii="Times New Roman" w:hAnsi="Times New Roman" w:eastAsia="宋体"/>
        </w:rPr>
        <w:t>（【图 32】）</w:t>
      </w:r>
    </w:p>
    <w:p>
      <w:pPr>
        <w:pStyle w:val="ListNumber"/>
      </w:pPr>
      <w:r>
        <w:rPr>
          <w:b w:val="0"/>
          <w:i w:val="0"/>
          <w:sz w:val="24"/>
          <w:rFonts w:ascii="Times New Roman" w:hAnsi="Times New Roman" w:eastAsia="宋体"/>
        </w:rPr>
        <w:t>启动工作台并打开浏览器；2. 上传「健康期数据」→ 选工况分层与参考段 → 生成 baseline.json；3. 上传「待监测数据」+ baseline.json → 生成 report.html；4. 浏览器直接打开报告；5. 在「产物列表」里下载明细；6.（可选）点「样例一键试跑」验证环境。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D. 现场接入需要的数据字段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类别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必需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可选（有则更好）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时间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时间戳列（可自动识别；支持等间隔数值时间）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—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模拟量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电流/功率、温度（轴承/绕组/油温）、压力/流量、转速或开停状态，至少 3–5 个通道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振动、导叶/变频开度、密度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状态列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有则按工况分层（强烈建议）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—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台账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故障/报警记录（时间、部件、现象、处理方式、停机时长）、检修与更换记录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备件与工时、成本口径</w:t>
            </w:r>
          </w:p>
        </w:tc>
      </w:tr>
    </w:tbl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E. 现场接入的 POC 四步</w:t>
      </w:r>
      <w:r>
        <w:rPr>
          <w:b w:val="0"/>
          <w:i w:val="0"/>
          <w:sz w:val="24"/>
          <w:rFonts w:ascii="Times New Roman" w:hAnsi="Times New Roman" w:eastAsia="宋体"/>
        </w:rPr>
        <w:t>（【图 35】）</w:t>
      </w:r>
    </w:p>
    <w:p>
      <w:pPr>
        <w:pStyle w:val="ListNumber"/>
      </w:pPr>
      <w:r>
        <w:rPr>
          <w:b w:val="0"/>
          <w:i w:val="0"/>
          <w:sz w:val="24"/>
          <w:rFonts w:ascii="Times New Roman" w:hAnsi="Times New Roman" w:eastAsia="宋体"/>
        </w:rPr>
        <w:t xml:space="preserve">选 </w:t>
      </w:r>
      <w:r>
        <w:rPr>
          <w:b/>
          <w:i w:val="0"/>
          <w:sz w:val="24"/>
          <w:rFonts w:ascii="Times New Roman" w:hAnsi="Times New Roman" w:eastAsia="宋体"/>
        </w:rPr>
        <w:t>1 台</w:t>
      </w:r>
      <w:r>
        <w:rPr>
          <w:b w:val="0"/>
          <w:i w:val="0"/>
          <w:sz w:val="24"/>
          <w:rFonts w:ascii="Times New Roman" w:hAnsi="Times New Roman" w:eastAsia="宋体"/>
        </w:rPr>
        <w:t xml:space="preserve">设备（建议鼓风机 / 脱水机 / 泵），取 </w:t>
      </w:r>
      <w:r>
        <w:rPr>
          <w:b/>
          <w:i w:val="0"/>
          <w:sz w:val="24"/>
          <w:rFonts w:ascii="Times New Roman" w:hAnsi="Times New Roman" w:eastAsia="宋体"/>
        </w:rPr>
        <w:t>≥12 个月</w:t>
      </w:r>
      <w:r>
        <w:rPr>
          <w:b w:val="0"/>
          <w:i w:val="0"/>
          <w:sz w:val="24"/>
          <w:rFonts w:ascii="Times New Roman" w:hAnsi="Times New Roman" w:eastAsia="宋体"/>
        </w:rPr>
        <w:t>历史数据 + 检修台账；</w:t>
      </w:r>
    </w:p>
    <w:p>
      <w:pPr>
        <w:pStyle w:val="ListNumber"/>
      </w:pPr>
      <w:r>
        <w:rPr>
          <w:b w:val="0"/>
          <w:i w:val="0"/>
          <w:sz w:val="24"/>
          <w:rFonts w:ascii="Times New Roman" w:hAnsi="Times New Roman" w:eastAsia="宋体"/>
        </w:rPr>
        <w:t>用</w:t>
      </w:r>
      <w:r>
        <w:rPr>
          <w:b/>
          <w:i w:val="0"/>
          <w:sz w:val="24"/>
          <w:rFonts w:ascii="Times New Roman" w:hAnsi="Times New Roman" w:eastAsia="宋体"/>
        </w:rPr>
        <w:t>不含故障的历史段</w:t>
      </w:r>
      <w:r>
        <w:rPr>
          <w:b w:val="0"/>
          <w:i w:val="0"/>
          <w:sz w:val="24"/>
          <w:rFonts w:ascii="Times New Roman" w:hAnsi="Times New Roman" w:eastAsia="宋体"/>
        </w:rPr>
        <w:t>标定基线（工具会告警参考段是否有趋势，需现场确认该段确无检修/故障）；</w:t>
      </w:r>
    </w:p>
    <w:p>
      <w:pPr>
        <w:pStyle w:val="ListNumber"/>
      </w:pPr>
      <w:r>
        <w:rPr>
          <w:b w:val="0"/>
          <w:i w:val="0"/>
          <w:sz w:val="24"/>
          <w:rFonts w:ascii="Times New Roman" w:hAnsi="Times New Roman" w:eastAsia="宋体"/>
        </w:rPr>
        <w:t>用</w:t>
      </w:r>
      <w:r>
        <w:rPr>
          <w:b/>
          <w:i w:val="0"/>
          <w:sz w:val="24"/>
          <w:rFonts w:ascii="Times New Roman" w:hAnsi="Times New Roman" w:eastAsia="宋体"/>
        </w:rPr>
        <w:t>含故障的历史段</w:t>
      </w:r>
      <w:r>
        <w:rPr>
          <w:b w:val="0"/>
          <w:i w:val="0"/>
          <w:sz w:val="24"/>
          <w:rFonts w:ascii="Times New Roman" w:hAnsi="Times New Roman" w:eastAsia="宋体"/>
        </w:rPr>
        <w:t>回放验证：对比「首报时间」与「台账真实故障时间」，算</w:t>
      </w:r>
      <w:r>
        <w:rPr>
          <w:b/>
          <w:i w:val="0"/>
          <w:sz w:val="24"/>
          <w:rFonts w:ascii="Times New Roman" w:hAnsi="Times New Roman" w:eastAsia="宋体"/>
        </w:rPr>
        <w:t>提前量</w:t>
      </w:r>
      <w:r>
        <w:rPr>
          <w:b w:val="0"/>
          <w:i w:val="0"/>
          <w:sz w:val="24"/>
          <w:rFonts w:ascii="Times New Roman" w:hAnsi="Times New Roman" w:eastAsia="宋体"/>
        </w:rPr>
        <w:t>与</w:t>
      </w:r>
      <w:r>
        <w:rPr>
          <w:b/>
          <w:i w:val="0"/>
          <w:sz w:val="24"/>
          <w:rFonts w:ascii="Times New Roman" w:hAnsi="Times New Roman" w:eastAsia="宋体"/>
        </w:rPr>
        <w:t>误报数</w:t>
      </w:r>
      <w:r>
        <w:rPr>
          <w:b w:val="0"/>
          <w:i w:val="0"/>
          <w:sz w:val="24"/>
          <w:rFonts w:ascii="Times New Roman" w:hAnsi="Times New Roman" w:eastAsia="宋体"/>
        </w:rPr>
        <w:t>；</w:t>
      </w:r>
    </w:p>
    <w:p>
      <w:pPr>
        <w:pStyle w:val="ListNumber"/>
      </w:pPr>
      <w:r>
        <w:rPr>
          <w:b w:val="0"/>
          <w:i w:val="0"/>
          <w:sz w:val="24"/>
          <w:rFonts w:ascii="Times New Roman" w:hAnsi="Times New Roman" w:eastAsia="宋体"/>
        </w:rPr>
        <w:t>通过后进入在线运行：P1 立即处置 / P2 复核排计划 / P3 趋势观察；每月出报告，季度复盘并逐步扩设备。</w:t>
      </w:r>
    </w:p>
    <w:p>
      <w:pPr>
        <w:pStyle w:val="Heading3"/>
      </w:pPr>
      <w:r>
        <w:t>3.7 已完成的验证结果（可引用数字与口径）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结论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数字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口径 / 限定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SKAB 三方法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双实现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零偏差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冻结协议 v1.5；DET 曲线定稿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MetroPT-3（真实空压机）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及时命中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2/4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；误报 0.1253 次/全稳定小时；TIA-H 11.6%</w:t>
            </w:r>
          </w:p>
        </w:tc>
        <w:tc>
          <w:tcPr>
            <w:tcW w:type="dxa" w:w="2759"/>
          </w:tcPr>
          <w:p>
            <w:r/>
            <w:r>
              <w:rPr>
                <w:b/>
                <w:i w:val="0"/>
                <w:sz w:val="21"/>
                <w:rFonts w:ascii="Times New Roman" w:hAnsi="Times New Roman" w:eastAsia="宋体"/>
              </w:rPr>
              <w:t>标签辅助选点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的工作点；无标签 0.995 工作点及时命中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0/4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工具实测（真实空压机 214 天）</w:t>
            </w:r>
          </w:p>
        </w:tc>
        <w:tc>
          <w:tcPr>
            <w:tcW w:type="dxa" w:w="2759"/>
          </w:tcPr>
          <w:p>
            <w:r/>
            <w:r>
              <w:rPr>
                <w:b/>
                <w:i w:val="0"/>
                <w:sz w:val="21"/>
                <w:rFonts w:ascii="Times New Roman" w:hAnsi="Times New Roman" w:eastAsia="宋体"/>
              </w:rPr>
              <w:t>105 个告警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（P1 56 / P2 30 / P3 19）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该数据的默认分层与阈值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诊断（CWRU）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同记录/跨转速 宏F1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1.000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；跨故障尺寸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0.536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跨尺寸是已知边界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RUL（C-MAPSS）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RMSE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15.27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、PHM08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434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第二套实现偏差 2.4%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决策（C-MAPSS / 污泥线）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省约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16%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（12/15 格）/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24.5%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（9/9 格）</w:t>
            </w:r>
          </w:p>
        </w:tc>
        <w:tc>
          <w:tcPr>
            <w:tcW w:type="dxa" w:w="2759"/>
          </w:tcPr>
          <w:p>
            <w:r/>
            <w:r>
              <w:rPr>
                <w:b/>
                <w:i w:val="0"/>
                <w:sz w:val="21"/>
                <w:rFonts w:ascii="Times New Roman" w:hAnsi="Times New Roman" w:eastAsia="宋体"/>
              </w:rPr>
              <w:t>成本为占位值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，不得当金额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污泥线闭环（路线 A）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检出 1.33 天、提前 47.67 天、RUL 误差 1.00 天、真值失效 109.00 天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机理仿真、理想单元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BSM2 整厂（路线 B）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原始量零误报口径 86.11 天（晚于失效）→ 设备级比值通道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9.80 天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（5.03–11.03）、提前 37.47 天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机理仿真、理想单元；含噪中位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跨相位稳健性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 xml:space="preserve">三个进水相位：比值通道恒 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9.80 天</w:t>
            </w:r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；原始量 86.11 / 81.58 / 81.16 天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官方动态进水三个相位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标定漂移边界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确定性偏差 9–15 天；</w:t>
            </w:r>
            <w:r>
              <w:rPr>
                <w:b/>
                <w:i w:val="0"/>
                <w:sz w:val="21"/>
                <w:rFonts w:ascii="Times New Roman" w:hAnsi="Times New Roman" w:eastAsia="宋体"/>
              </w:rPr>
              <w:t>随机游走 3%/5% → 47 / 73 天（可能晚于失效）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本列出的偏差结构；双测量平均是唯一有效缓解</w:t>
            </w:r>
          </w:p>
        </w:tc>
      </w:tr>
    </w:tbl>
    <w:p/>
    <w:p>
      <w:pPr>
        <w:pStyle w:val="Heading2"/>
      </w:pPr>
      <w:r>
        <w:t>第 4 章 价值、潜力及影响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技术价值</w:t>
      </w:r>
      <w:r>
        <w:rPr>
          <w:b w:val="0"/>
          <w:i w:val="0"/>
          <w:sz w:val="24"/>
          <w:rFonts w:ascii="Times New Roman" w:hAnsi="Times New Roman" w:eastAsia="宋体"/>
        </w:rPr>
        <w:t>：把「预测性维护」从概念变成</w:t>
      </w:r>
      <w:r>
        <w:rPr>
          <w:b/>
          <w:i w:val="0"/>
          <w:sz w:val="24"/>
          <w:rFonts w:ascii="Times New Roman" w:hAnsi="Times New Roman" w:eastAsia="宋体"/>
        </w:rPr>
        <w:t>可离线部署、可现场标定、可核查数字</w:t>
      </w:r>
      <w:r>
        <w:rPr>
          <w:b w:val="0"/>
          <w:i w:val="0"/>
          <w:sz w:val="24"/>
          <w:rFonts w:ascii="Times New Roman" w:hAnsi="Times New Roman" w:eastAsia="宋体"/>
        </w:rPr>
        <w:t>的工程工具；七条设计原则与四轮跨实现复核，为同类项目提供了可复用的方法学。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社会价值</w:t>
      </w:r>
      <w:r>
        <w:rPr>
          <w:b w:val="0"/>
          <w:i w:val="0"/>
          <w:sz w:val="24"/>
          <w:rFonts w:ascii="Times New Roman" w:hAnsi="Times New Roman" w:eastAsia="宋体"/>
        </w:rPr>
        <w:t xml:space="preserve">：① 减少非计划停机与溢流风险，提高污水处理稳定性；② 污泥处置合规（泥饼含固率不达标场景有明确提前预警）；③ 与「双碳」方向一致 —— 按状态维护可减少备件与能耗浪费；④ </w:t>
      </w:r>
      <w:r>
        <w:rPr>
          <w:b/>
          <w:i w:val="0"/>
          <w:sz w:val="24"/>
          <w:rFonts w:ascii="Times New Roman" w:hAnsi="Times New Roman" w:eastAsia="宋体"/>
        </w:rPr>
        <w:t>不需要新增传感器</w:t>
      </w:r>
      <w:r>
        <w:rPr>
          <w:b w:val="0"/>
          <w:i w:val="0"/>
          <w:sz w:val="24"/>
          <w:rFonts w:ascii="Times New Roman" w:hAnsi="Times New Roman" w:eastAsia="宋体"/>
        </w:rPr>
        <w:t>，不增加现场改造负担与电子垃圾。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经济价值（潜力）</w:t>
      </w:r>
      <w:r>
        <w:rPr>
          <w:b w:val="0"/>
          <w:i w:val="0"/>
          <w:sz w:val="24"/>
          <w:rFonts w:ascii="Times New Roman" w:hAnsi="Times New Roman" w:eastAsia="宋体"/>
        </w:rPr>
        <w:t>：面向污水厂的</w:t>
      </w:r>
      <w:r>
        <w:rPr>
          <w:b/>
          <w:i w:val="0"/>
          <w:sz w:val="24"/>
          <w:rFonts w:ascii="Times New Roman" w:hAnsi="Times New Roman" w:eastAsia="宋体"/>
        </w:rPr>
        <w:t>软件订阅 + 接入标定服务</w:t>
      </w:r>
      <w:r>
        <w:rPr>
          <w:b w:val="0"/>
          <w:i w:val="0"/>
          <w:sz w:val="24"/>
          <w:rFonts w:ascii="Times New Roman" w:hAnsi="Times New Roman" w:eastAsia="宋体"/>
        </w:rPr>
        <w:t>；单厂按关键设备数计价，轻资产、不垫资。市场规模、定价与竞争分析详见《商业计划书》（deliverables/ppt/澜脉_商业计划书.pptx）。</w:t>
      </w:r>
      <w:r>
        <w:rPr>
          <w:b/>
          <w:i w:val="0"/>
          <w:sz w:val="24"/>
          <w:rFonts w:ascii="Times New Roman" w:hAnsi="Times New Roman" w:eastAsia="宋体"/>
        </w:rPr>
        <w:t>当前所有成本与收益数字均为占位值。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推广路径</w:t>
      </w:r>
      <w:r>
        <w:rPr>
          <w:b w:val="0"/>
          <w:i w:val="0"/>
          <w:sz w:val="24"/>
          <w:rFonts w:ascii="Times New Roman" w:hAnsi="Times New Roman" w:eastAsia="宋体"/>
        </w:rPr>
        <w:t>：① 单厂单设备试点（3–6 个月）→ ② 单厂多设备（鼓风机 / 脱水机 / 泵）→ ③ 集团多厂复制（阈值与工况分层可按厂标定）→ ④ 横向扩展到供水厂与排水管网泵站（同一套「双基线 + 工况条件化 + 机理 RUL」框架）。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影响与局限（主动声明）</w:t>
      </w:r>
      <w:r>
        <w:rPr>
          <w:b w:val="0"/>
          <w:i w:val="0"/>
          <w:sz w:val="24"/>
          <w:rFonts w:ascii="Times New Roman" w:hAnsi="Times New Roman" w:eastAsia="宋体"/>
        </w:rPr>
        <w:t>：污水厂侧结论均来自机理仿真；真实设备目前只有水泵台架与地铁空压机；浓缩/脱水为理想单元（无堵塞、无动力学）；成本参数为占位值；诊断跨故障尺寸精度有限；未覆盖相关漂移与多传感器联合漂移；判据存在刀锋边缘情形。</w:t>
      </w:r>
    </w:p>
    <w:p/>
    <w:p>
      <w:pPr>
        <w:pStyle w:val="Heading2"/>
      </w:pPr>
      <w:r>
        <w:t>附录 A 常见问题（FAQ）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Q1 我们没有现成的运行数据导出，怎么办？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先确认 DCS/SCADA 能否导出历史趋势（CSV/Excel 即可）；若只能导一天，也能演示「上传 → 体检 → 标定 → 报告」这条链路，但要评估退化必须 ≥ 数月数据。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Q2 工具提示「参考窗有显著趋势」，还能用吗？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不能直接用。这说明你给的「健康期」可能不是稳态（可能有检修、季节升温等）。处理方式：换一段更干净的健康期，或用多段健康期标定（--ref-segments）取中位/保守策略。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Q3 告警太多怎么办？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三步：① 提高分位阈值 q（更保守）；② 用多段标定的 upper 策略压误报；③ 只把 P1 纳入立即处置，P2 复核、P3 观察。另外检查是否漏了工况分层（--state col）。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Q4 会不会和现有 DCS 报警冲突？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不冲突也不替代：我们的输出是「设备级退化趋势与剩余寿命建议」，P1/P2/P3 是维护动作分级；建议先与既有报警并跑 1–3 个月再合并流程。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Q5 部署要什么配置？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任意能跑 Python 3.9+ 的机器（工控机/办公电脑即可）；只要 numpy/pandas；无需 GPU、无需外网、无需数据库。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Q6 数据安全怎么保证？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默认只监听本机 127.0.0.1，全部计算与落盘在本机完成；报告是单文件 HTML，可只在内部流转；如需局域网访问，显式加 --host 0.0.0.0 并自行控制网络范围。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Q7 怎么证明它真的有效？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用历史回放：拿一段包含真实故障的数据，比较「首报时间」与「台账故障时间」的提前量，以及这段期间的误报数 —— 这就是我们建议的 POC 第 3 步。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Q8 成本参数从哪来？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需要企业提供三项：一次非计划失效的损失、一次计划更换的费用、以及剩余寿命被浪费的折算口径。</w:t>
      </w:r>
      <w:r>
        <w:rPr>
          <w:b/>
          <w:i w:val="0"/>
          <w:sz w:val="24"/>
          <w:rFonts w:ascii="Times New Roman" w:hAnsi="Times New Roman" w:eastAsia="宋体"/>
        </w:rPr>
        <w:t>未标定前，我们不对外给任何金额。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Q9 诊断精度够用吗？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同记录/跨转速很好（宏F1 1.000），跨故障尺寸有限（0.536），已在材料中标注；现阶段建议把诊断作为「辅助定位」，主决策依据仍是检测与 RUL。</w:t>
      </w:r>
    </w:p>
    <w:p>
      <w:pPr>
        <w:ind w:firstLine="480"/>
      </w:pPr>
      <w:r>
        <w:rPr>
          <w:b/>
          <w:i w:val="0"/>
          <w:sz w:val="24"/>
          <w:rFonts w:ascii="Times New Roman" w:hAnsi="Times New Roman" w:eastAsia="宋体"/>
        </w:rPr>
        <w:t>Q10 RUL 会不会不准？</w:t>
      </w:r>
    </w:p>
    <w:p>
      <w:pPr>
        <w:ind w:firstLine="480"/>
      </w:pPr>
      <w:r>
        <w:rPr>
          <w:b w:val="0"/>
          <w:i w:val="0"/>
          <w:sz w:val="24"/>
          <w:rFonts w:ascii="Times New Roman" w:hAnsi="Times New Roman" w:eastAsia="宋体"/>
        </w:rPr>
        <w:t>会，而且我们量化过：机理量未下降时不给日期；窗长不匹配时误差可达 200 天以上；含噪时 1 天窗误差 26 天、10 天窗 13.85 天。因此 RUL 建议与维护窗口一起用，并保留人工确认。</w:t>
      </w:r>
    </w:p>
    <w:p>
      <w:pPr>
        <w:pStyle w:val="Heading2"/>
      </w:pPr>
      <w:r>
        <w:t>附录 B 与评分标准的对应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59"/>
        <w:gridCol w:w="2759"/>
        <w:gridCol w:w="2759"/>
      </w:tblGrid>
      <w:tr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评分维度（权重）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考察点</w:t>
            </w:r>
          </w:p>
        </w:tc>
        <w:tc>
          <w:tcPr>
            <w:tcW w:type="dxa" w:w="275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本文对应位置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技术方向 50%：技术创新性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是否前沿、是否有独创/突破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第 2.3 节四个创新点 + 七条设计原则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技术方向 50%：技术可行性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是否经过小试/中试、工程化路径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第 2.2.2 节 + 第 3.1–3.6 节（含使用说明）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技术方向 50%：技术经济性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降本增效、可规模化推广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第 2.4 节 + 第 3.2 节④决策模块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市场方向 20%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市场规模、市场能力、竞争力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第 4 章 + 商业计划书 PPT（行业背景/用户画像/竞争格局/进入策略）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商业模式 20%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客户群体、资金模式、产品类型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第 4 章 + PPT（盈利模式/财务结构；不垫资、TO B/G 明确）</w:t>
            </w:r>
          </w:p>
        </w:tc>
      </w:tr>
      <w:tr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项目团队 10%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团队背景、执行能力、资源整合</w:t>
            </w:r>
          </w:p>
        </w:tc>
        <w:tc>
          <w:tcPr>
            <w:tcW w:type="dxa" w:w="275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PPT（团队页，待补成员与指导老师信息）</w:t>
            </w:r>
          </w:p>
        </w:tc>
      </w:tr>
    </w:tbl>
    <w:p>
      <w:pPr>
        <w:pStyle w:val="Heading2"/>
      </w:pPr>
      <w:r>
        <w:t>附录 C 数字可引用性（对外口径）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可以对外说</w:t>
      </w:r>
      <w:r>
        <w:rPr>
          <w:b w:val="0"/>
          <w:i w:val="0"/>
          <w:sz w:val="24"/>
          <w:rFonts w:ascii="Times New Roman" w:hAnsi="Times New Roman" w:eastAsia="宋体"/>
        </w:rPr>
        <w:t>：SKAB 三方法零偏差；工具在真实空压机上 214 天 105 个告警；诊断同记录/跨转速 1.000；RUL RMSE 15.27；孪生机理 RUL 1.00–4.04 天；设备级比值通道 9.80 天（含噪中位、区间 5.03–11.03）。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必须带限定才能说</w:t>
      </w:r>
      <w:r>
        <w:rPr>
          <w:b w:val="0"/>
          <w:i w:val="0"/>
          <w:sz w:val="24"/>
          <w:rFonts w:ascii="Times New Roman" w:hAnsi="Times New Roman" w:eastAsia="宋体"/>
        </w:rPr>
        <w:t>：MetroPT-3 的「2/4」必须说明是</w:t>
      </w:r>
      <w:r>
        <w:rPr>
          <w:b/>
          <w:i w:val="0"/>
          <w:sz w:val="24"/>
          <w:rFonts w:ascii="Times New Roman" w:hAnsi="Times New Roman" w:eastAsia="宋体"/>
        </w:rPr>
        <w:t>标签辅助选点</w:t>
      </w:r>
      <w:r>
        <w:rPr>
          <w:b w:val="0"/>
          <w:i w:val="0"/>
          <w:sz w:val="24"/>
          <w:rFonts w:ascii="Times New Roman" w:hAnsi="Times New Roman" w:eastAsia="宋体"/>
        </w:rPr>
        <w:t>（无标签口径 0/4）；BSM1/BSM2 与污泥线的一切数字必须标注</w:t>
      </w:r>
      <w:r>
        <w:rPr>
          <w:b/>
          <w:i w:val="0"/>
          <w:sz w:val="24"/>
          <w:rFonts w:ascii="Times New Roman" w:hAnsi="Times New Roman" w:eastAsia="宋体"/>
        </w:rPr>
        <w:t>机理仿真</w:t>
      </w:r>
      <w:r>
        <w:rPr>
          <w:b w:val="0"/>
          <w:i w:val="0"/>
          <w:sz w:val="24"/>
          <w:rFonts w:ascii="Times New Roman" w:hAnsi="Times New Roman" w:eastAsia="宋体"/>
        </w:rPr>
        <w:t>；「省 16% / 24.5%」必须标注</w:t>
      </w:r>
      <w:r>
        <w:rPr>
          <w:b/>
          <w:i w:val="0"/>
          <w:sz w:val="24"/>
          <w:rFonts w:ascii="Times New Roman" w:hAnsi="Times New Roman" w:eastAsia="宋体"/>
        </w:rPr>
        <w:t>成本为占位值</w:t>
      </w:r>
      <w:r>
        <w:rPr>
          <w:b w:val="0"/>
          <w:i w:val="0"/>
          <w:sz w:val="24"/>
          <w:rFonts w:ascii="Times New Roman" w:hAnsi="Times New Roman" w:eastAsia="宋体"/>
        </w:rPr>
        <w:t>；跨相位与跨噪声结构结论必须标注适用范围。</w:t>
      </w:r>
    </w:p>
    <w:p>
      <w:pPr>
        <w:pStyle w:val="ListBullet"/>
      </w:pPr>
      <w:r>
        <w:rPr>
          <w:b/>
          <w:i w:val="0"/>
          <w:sz w:val="24"/>
          <w:rFonts w:ascii="Times New Roman" w:hAnsi="Times New Roman" w:eastAsia="宋体"/>
        </w:rPr>
        <w:t>不可以说</w:t>
      </w:r>
      <w:r>
        <w:rPr>
          <w:b w:val="0"/>
          <w:i w:val="0"/>
          <w:sz w:val="24"/>
          <w:rFonts w:ascii="Times New Roman" w:hAnsi="Times New Roman" w:eastAsia="宋体"/>
        </w:rPr>
        <w:t>：已在污水厂现场验证；有客户/订单；能省多少钱（成本未标定前）；「0 误报」（不跨工况）；把局部单调性外推成普遍规律。</w:t>
      </w:r>
    </w:p>
    <w:p>
      <w:pPr>
        <w:pStyle w:val="Heading2"/>
      </w:pPr>
      <w:r>
        <w:t>附录 D 文件与复现地图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511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landing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1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1-32　线上落地页：作品入口与三条主线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3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demo_dashboar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1-33　十节演示看板全貌（检测到决策的全部结果与口径）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665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_demo_detec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6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1-34　看板·检测节：双基线分数、阈值与告警等级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817308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_demo_twi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17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1-35　看板·数字孪生节：退化轨迹与检测/RUL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970608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_demo_route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970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1-36　看板·整厂闭环节（路线 B）：原始量 vs 设备级比值通道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54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twi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1-37　交互式数字孪生演示台（静态版）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80285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_twin_ani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028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  <w:i w:val="0"/>
          <w:color w:val="404040"/>
          <w:sz w:val="20"/>
          <w:rFonts w:ascii="Arial" w:hAnsi="Arial" w:eastAsia="黑体"/>
        </w:rPr>
        <w:t>图 1-38　动画演示台：健康/退化两条轨迹回放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39"/>
        <w:gridCol w:w="4139"/>
      </w:tblGrid>
      <w:tr>
        <w:tc>
          <w:tcPr>
            <w:tcW w:type="dxa" w:w="413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你想做什么</w:t>
            </w:r>
          </w:p>
        </w:tc>
        <w:tc>
          <w:tcPr>
            <w:tcW w:type="dxa" w:w="413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命令 / 位置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一键复现全部结果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python run_all.py（快速 9 阶段）｜ python run_all.py --full（全量 39 阶段）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打开本地工作台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双击 start_lanmai.cmd 或 python run_lanmai.py serve --open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生成企业版报告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见 3.6 节 B 的第 4 条命令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看两份真实样例报告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demo/report_metropt3.html、demo/report_bsm1.html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看线上演示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index.html、demo/lanmai_demo.html（十节看板）、demo/lanmai_twin.html（交互台）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看技术细节与口径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PROJECT_STATE.md（唯一事实来源，含四轮独立复核台账）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看工具手册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docs/10_接入标定工具使用手册.md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看哪些数字能对外说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docs/08_成果验收清单.md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看商业计划书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deliverables/ppt/澜脉_商业计划书.pptx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看本说明书的可打印版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deliverables/澜脉_项目说明书.html（浏览器 Ctrl+P → PDF）</w:t>
            </w:r>
          </w:p>
        </w:tc>
      </w:tr>
    </w:tbl>
    <w:p>
      <w:pPr>
        <w:pStyle w:val="Heading2"/>
      </w:pPr>
      <w:r>
        <w:t>附录 E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39"/>
        <w:gridCol w:w="4139"/>
      </w:tblGrid>
      <w:tr>
        <w:tc>
          <w:tcPr>
            <w:tcW w:type="dxa" w:w="413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术语</w:t>
            </w:r>
          </w:p>
        </w:tc>
        <w:tc>
          <w:tcPr>
            <w:tcW w:type="dxa" w:w="4139"/>
            <w:shd w:val="clear" w:fill="F0F6FB"/>
          </w:tcPr>
          <w:p>
            <w:r>
              <w:rPr>
                <w:b/>
              </w:rPr>
            </w:r>
            <w:r>
              <w:rPr>
                <w:b/>
                <w:i w:val="0"/>
                <w:sz w:val="21"/>
                <w:rFonts w:ascii="Arial" w:hAnsi="Arial" w:eastAsia="黑体"/>
              </w:rPr>
              <w:t>含义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双基线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冻结基线（固定参考域，抓慢漂移）+ 自适应基线（短窗，抓突变）并行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工况条件化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按运行状态/时段/负荷分箱，各箱内单独标定阈值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对拍差分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用同期同工况的健康轨迹与当前轨迹做配对差分，消掉共同工况波动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事件机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把逐点分数转成事件的规则（连续 4 点进入 / 连续 8 点低于 0.8×阈退出 / 冷却 8 点）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P1/P2/P3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报警 ∧ 分布位置抬升 = 立即处置 / 仅报警 = 复核排计划 / 仅分布位置抬升 = 趋势观察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机理量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与设备退化有物理因果的量（泥饼含固率、反应池溶解氧等），用于 RUL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参考域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标定用的健康历史段，必须是验收合格且进入稳态的时段</w:t>
            </w:r>
          </w:p>
        </w:tc>
      </w:tr>
      <w:tr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RUL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i w:val="0"/>
                <w:sz w:val="21"/>
                <w:rFonts w:ascii="Times New Roman" w:hAnsi="Times New Roman" w:eastAsia="宋体"/>
              </w:rPr>
              <w:t>Remaining Useful Life，剩余使用寿命</w:t>
            </w:r>
          </w:p>
        </w:tc>
      </w:tr>
    </w:tbl>
    <w:p/>
    <w:p>
      <w:pPr>
        <w:shd w:val="clear" w:fill="F2F2F2"/>
      </w:pPr>
      <w:r>
        <w:rPr>
          <w:b w:val="0"/>
          <w:i w:val="0"/>
          <w:color w:val="31465A"/>
          <w:sz w:val="21"/>
          <w:rFonts w:ascii="Times New Roman" w:hAnsi="Times New Roman" w:eastAsia="宋体"/>
        </w:rPr>
        <w:t>本说明书正文由 docs/11_项目说明书.md 维护；可打印 HTML 由 src/dsh/2026-09-22_12_manual_html.py 生成（内嵌 35 张图）。 所有图片分三类：</w:t>
      </w:r>
      <w:r>
        <w:rPr>
          <w:b/>
          <w:i w:val="0"/>
          <w:color w:val="31465A"/>
          <w:sz w:val="21"/>
          <w:rFonts w:ascii="Times New Roman" w:hAnsi="Times New Roman" w:eastAsia="宋体"/>
        </w:rPr>
        <w:t>自制示意图</w:t>
      </w:r>
      <w:r>
        <w:rPr>
          <w:b w:val="0"/>
          <w:i w:val="0"/>
          <w:color w:val="31465A"/>
          <w:sz w:val="21"/>
          <w:rFonts w:ascii="Times New Roman" w:hAnsi="Times New Roman" w:eastAsia="宋体"/>
        </w:rPr>
        <w:t>（架构/链路/判据/部署/POC）、</w:t>
      </w:r>
      <w:r>
        <w:rPr>
          <w:b/>
          <w:i w:val="0"/>
          <w:color w:val="31465A"/>
          <w:sz w:val="21"/>
          <w:rFonts w:ascii="Times New Roman" w:hAnsi="Times New Roman" w:eastAsia="宋体"/>
        </w:rPr>
        <w:t>真实界面截图</w:t>
      </w:r>
      <w:r>
        <w:rPr>
          <w:b w:val="0"/>
          <w:i w:val="0"/>
          <w:color w:val="31465A"/>
          <w:sz w:val="21"/>
          <w:rFonts w:ascii="Times New Roman" w:hAnsi="Times New Roman" w:eastAsia="宋体"/>
        </w:rPr>
        <w:t>（用 Edge 无头模式实拍）、</w:t>
      </w:r>
      <w:r>
        <w:rPr>
          <w:b/>
          <w:i w:val="0"/>
          <w:color w:val="31465A"/>
          <w:sz w:val="21"/>
          <w:rFonts w:ascii="Times New Roman" w:hAnsi="Times New Roman" w:eastAsia="宋体"/>
        </w:rPr>
        <w:t>结果图</w:t>
      </w:r>
      <w:r>
        <w:rPr>
          <w:b w:val="0"/>
          <w:i w:val="0"/>
          <w:color w:val="31465A"/>
          <w:sz w:val="21"/>
          <w:rFonts w:ascii="Times New Roman" w:hAnsi="Times New Roman" w:eastAsia="宋体"/>
        </w:rPr>
        <w:t>（由本项目脚本从结果数据绘制）。</w:t>
      </w:r>
    </w:p>
    <w:sectPr w:rsidR="00FC693F" w:rsidRPr="0006063C" w:rsidSect="00034616">
      <w:pgSz w:w="11906" w:h="16838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黑体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黑体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