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911131">
      <w:pPr>
        <w:spacing w:after="120" w:line="276" w:lineRule="auto"/>
        <w:jc w:val="center"/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</w:pPr>
      <w:r>
        <w:rPr>
          <w:rFonts w:ascii="Times New Roman" w:hAnsi="Times New Roman" w:eastAsia="黑体" w:cstheme="minorBidi"/>
          <w:b/>
          <w:color w:val="1B2733"/>
          <w:sz w:val="32"/>
          <w:szCs w:val="22"/>
          <w:lang w:val="en-US" w:eastAsia="en-US" w:bidi="ar-SA"/>
        </w:rPr>
        <w:t>北控水务杯第九届中国国际生态环境创新大赛</w:t>
      </w:r>
    </w:p>
    <w:p w14:paraId="213798A8">
      <w:pPr>
        <w:spacing w:after="360" w:line="276" w:lineRule="auto"/>
        <w:jc w:val="center"/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</w:pPr>
      <w:r>
        <w:rPr>
          <w:rFonts w:ascii="Times New Roman" w:hAnsi="Times New Roman" w:eastAsia="黑体" w:cstheme="minorBidi"/>
          <w:b/>
          <w:color w:val="1B2733"/>
          <w:sz w:val="44"/>
          <w:szCs w:val="22"/>
          <w:lang w:val="en-US" w:eastAsia="en-US" w:bidi="ar-SA"/>
        </w:rPr>
        <w:t>技</w:t>
      </w:r>
      <w:r>
        <w:rPr>
          <w:rFonts w:hint="eastAsia" w:ascii="Times New Roman" w:hAnsi="Times New Roman" w:eastAsia="黑体" w:cstheme="minorBidi"/>
          <w:b/>
          <w:color w:val="1B2733"/>
          <w:sz w:val="44"/>
          <w:szCs w:val="22"/>
          <w:lang w:val="en-US" w:eastAsia="zh-CN" w:bidi="ar-SA"/>
        </w:rPr>
        <w:t xml:space="preserve"> </w:t>
      </w:r>
      <w:r>
        <w:rPr>
          <w:rFonts w:ascii="Times New Roman" w:hAnsi="Times New Roman" w:eastAsia="黑体" w:cstheme="minorBidi"/>
          <w:b/>
          <w:color w:val="1B2733"/>
          <w:sz w:val="44"/>
          <w:szCs w:val="22"/>
          <w:lang w:val="en-US" w:eastAsia="en-US" w:bidi="ar-SA"/>
        </w:rPr>
        <w:t>术</w:t>
      </w:r>
      <w:r>
        <w:rPr>
          <w:rFonts w:hint="eastAsia" w:ascii="Times New Roman" w:hAnsi="Times New Roman" w:eastAsia="黑体" w:cstheme="minorBidi"/>
          <w:b/>
          <w:color w:val="1B2733"/>
          <w:sz w:val="44"/>
          <w:szCs w:val="22"/>
          <w:lang w:val="en-US" w:eastAsia="zh-CN" w:bidi="ar-SA"/>
        </w:rPr>
        <w:t xml:space="preserve"> </w:t>
      </w:r>
      <w:r>
        <w:rPr>
          <w:rFonts w:ascii="Times New Roman" w:hAnsi="Times New Roman" w:eastAsia="黑体" w:cstheme="minorBidi"/>
          <w:b/>
          <w:color w:val="1B2733"/>
          <w:sz w:val="44"/>
          <w:szCs w:val="22"/>
          <w:lang w:val="en-US" w:eastAsia="en-US" w:bidi="ar-SA"/>
        </w:rPr>
        <w:t>报</w:t>
      </w:r>
      <w:r>
        <w:rPr>
          <w:rFonts w:hint="eastAsia" w:ascii="Times New Roman" w:hAnsi="Times New Roman" w:eastAsia="黑体" w:cstheme="minorBidi"/>
          <w:b/>
          <w:color w:val="1B2733"/>
          <w:sz w:val="44"/>
          <w:szCs w:val="22"/>
          <w:lang w:val="en-US" w:eastAsia="zh-CN" w:bidi="ar-SA"/>
        </w:rPr>
        <w:t xml:space="preserve"> </w:t>
      </w:r>
      <w:r>
        <w:rPr>
          <w:rFonts w:ascii="Times New Roman" w:hAnsi="Times New Roman" w:eastAsia="黑体" w:cstheme="minorBidi"/>
          <w:b/>
          <w:color w:val="1B2733"/>
          <w:sz w:val="44"/>
          <w:szCs w:val="22"/>
          <w:lang w:val="en-US" w:eastAsia="en-US" w:bidi="ar-SA"/>
        </w:rPr>
        <w:t>告</w:t>
      </w:r>
    </w:p>
    <w:p w14:paraId="3BB64511">
      <w:pPr>
        <w:spacing w:after="480" w:line="276" w:lineRule="auto"/>
        <w:jc w:val="center"/>
        <w:rPr>
          <w:rFonts w:ascii="Times New Roman" w:hAnsi="Times New Roman" w:eastAsia="黑体" w:cstheme="minorBidi"/>
          <w:b w:val="0"/>
          <w:color w:val="1B2733"/>
          <w:sz w:val="28"/>
          <w:szCs w:val="22"/>
          <w:lang w:val="en-US" w:eastAsia="en-US" w:bidi="ar-SA"/>
        </w:rPr>
      </w:pPr>
      <w:r>
        <w:rPr>
          <w:rFonts w:ascii="Times New Roman" w:hAnsi="Times New Roman" w:eastAsia="黑体" w:cstheme="minorBidi"/>
          <w:b w:val="0"/>
          <w:color w:val="1B2733"/>
          <w:sz w:val="28"/>
          <w:szCs w:val="22"/>
          <w:lang w:val="en-US" w:eastAsia="en-US" w:bidi="ar-SA"/>
        </w:rPr>
        <w:t>（项目说明书）</w:t>
      </w:r>
    </w:p>
    <w:p w14:paraId="7EDA176F">
      <w:pPr>
        <w:spacing w:after="480" w:line="276" w:lineRule="auto"/>
        <w:jc w:val="center"/>
        <w:rPr>
          <w:rFonts w:ascii="Times New Roman" w:hAnsi="Times New Roman" w:eastAsia="黑体" w:cstheme="minorBidi"/>
          <w:b w:val="0"/>
          <w:color w:val="1B2733"/>
          <w:sz w:val="28"/>
          <w:szCs w:val="22"/>
          <w:lang w:val="en-US" w:eastAsia="en-US" w:bidi="ar-SA"/>
        </w:rPr>
      </w:pPr>
    </w:p>
    <w:p w14:paraId="30428B9A">
      <w:pPr>
        <w:spacing w:after="480" w:line="276" w:lineRule="auto"/>
        <w:jc w:val="center"/>
        <w:rPr>
          <w:rFonts w:ascii="Times New Roman" w:hAnsi="Times New Roman" w:eastAsia="黑体" w:cstheme="minorBidi"/>
          <w:b w:val="0"/>
          <w:color w:val="1B2733"/>
          <w:sz w:val="28"/>
          <w:szCs w:val="22"/>
          <w:lang w:val="en-US" w:eastAsia="en-US" w:bidi="ar-SA"/>
        </w:rPr>
      </w:pPr>
    </w:p>
    <w:p w14:paraId="3B90C785">
      <w:pPr>
        <w:spacing w:after="480" w:line="276" w:lineRule="auto"/>
        <w:jc w:val="center"/>
        <w:rPr>
          <w:rFonts w:ascii="Times New Roman" w:hAnsi="Times New Roman" w:eastAsia="黑体" w:cstheme="minorBidi"/>
          <w:b w:val="0"/>
          <w:color w:val="1B2733"/>
          <w:sz w:val="28"/>
          <w:szCs w:val="22"/>
          <w:lang w:val="en-US" w:eastAsia="en-US" w:bidi="ar-SA"/>
        </w:rPr>
      </w:pPr>
    </w:p>
    <w:p w14:paraId="1936A2A5">
      <w:pPr>
        <w:spacing w:after="480" w:line="276" w:lineRule="auto"/>
        <w:jc w:val="center"/>
        <w:rPr>
          <w:rFonts w:ascii="Times New Roman" w:hAnsi="Times New Roman" w:eastAsia="黑体" w:cstheme="minorBidi"/>
          <w:b w:val="0"/>
          <w:color w:val="1B2733"/>
          <w:sz w:val="28"/>
          <w:szCs w:val="22"/>
          <w:lang w:val="en-US" w:eastAsia="en-US" w:bidi="ar-SA"/>
        </w:rPr>
      </w:pPr>
    </w:p>
    <w:p w14:paraId="4C1E54A5">
      <w:pPr>
        <w:spacing w:after="480" w:line="276" w:lineRule="auto"/>
        <w:jc w:val="center"/>
        <w:rPr>
          <w:rFonts w:ascii="Times New Roman" w:hAnsi="Times New Roman" w:eastAsia="黑体" w:cstheme="minorBidi"/>
          <w:b w:val="0"/>
          <w:color w:val="1B2733"/>
          <w:sz w:val="28"/>
          <w:szCs w:val="22"/>
          <w:lang w:val="en-US" w:eastAsia="en-US" w:bidi="ar-SA"/>
        </w:rPr>
      </w:pPr>
    </w:p>
    <w:p w14:paraId="635A4144">
      <w:pPr>
        <w:spacing w:after="480" w:line="276" w:lineRule="auto"/>
        <w:jc w:val="center"/>
        <w:rPr>
          <w:rFonts w:ascii="Times New Roman" w:hAnsi="Times New Roman" w:eastAsia="黑体" w:cstheme="minorBidi"/>
          <w:b w:val="0"/>
          <w:color w:val="1B2733"/>
          <w:sz w:val="28"/>
          <w:szCs w:val="22"/>
          <w:lang w:val="en-US" w:eastAsia="en-US" w:bidi="ar-SA"/>
        </w:rPr>
      </w:pPr>
    </w:p>
    <w:p w14:paraId="3426DEB8">
      <w:pPr>
        <w:spacing w:after="160" w:line="276" w:lineRule="auto"/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</w:pPr>
      <w:r>
        <w:rPr>
          <w:rFonts w:ascii="Times New Roman" w:hAnsi="Times New Roman" w:eastAsia="宋体" w:cstheme="minorBidi"/>
          <w:b w:val="0"/>
          <w:sz w:val="28"/>
          <w:szCs w:val="22"/>
          <w:lang w:val="en-US" w:eastAsia="en-US" w:bidi="ar-SA"/>
        </w:rPr>
        <w:t>作品名称：澜脉· 污水厂设备 AI 预测性维护系统</w:t>
      </w:r>
    </w:p>
    <w:p w14:paraId="156CF836">
      <w:pPr>
        <w:spacing w:after="160" w:line="276" w:lineRule="auto"/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</w:pPr>
      <w:r>
        <w:rPr>
          <w:rFonts w:ascii="Times New Roman" w:hAnsi="Times New Roman" w:eastAsia="宋体" w:cstheme="minorBidi"/>
          <w:b w:val="0"/>
          <w:sz w:val="28"/>
          <w:szCs w:val="22"/>
          <w:lang w:val="en-US" w:eastAsia="en-US" w:bidi="ar-SA"/>
        </w:rPr>
        <w:t>命题方向：基于 AI 设备预测性维护与管理技术与解决方案</w:t>
      </w:r>
    </w:p>
    <w:p w14:paraId="6BAA38F2">
      <w:pPr>
        <w:spacing w:after="160" w:line="276" w:lineRule="auto"/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</w:pPr>
      <w:r>
        <w:rPr>
          <w:rFonts w:ascii="Times New Roman" w:hAnsi="Times New Roman" w:eastAsia="宋体" w:cstheme="minorBidi"/>
          <w:b w:val="0"/>
          <w:sz w:val="28"/>
          <w:szCs w:val="22"/>
          <w:lang w:val="en-US" w:eastAsia="en-US" w:bidi="ar-SA"/>
        </w:rPr>
        <w:t>参赛组别：创意转化组</w:t>
      </w:r>
    </w:p>
    <w:p w14:paraId="41D1C284">
      <w:pPr>
        <w:spacing w:after="160" w:line="276" w:lineRule="auto"/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</w:pPr>
      <w:r>
        <w:rPr>
          <w:rFonts w:ascii="Times New Roman" w:hAnsi="Times New Roman" w:eastAsia="宋体" w:cstheme="minorBidi"/>
          <w:b w:val="0"/>
          <w:sz w:val="28"/>
          <w:szCs w:val="22"/>
          <w:lang w:val="en-US" w:eastAsia="en-US" w:bidi="ar-SA"/>
        </w:rPr>
        <w:t>作者姓名：</w:t>
      </w:r>
    </w:p>
    <w:p w14:paraId="61213E09">
      <w:pPr>
        <w:spacing w:after="160" w:line="276" w:lineRule="auto"/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</w:pPr>
      <w:r>
        <w:rPr>
          <w:rFonts w:ascii="Times New Roman" w:hAnsi="Times New Roman" w:eastAsia="宋体" w:cstheme="minorBidi"/>
          <w:b w:val="0"/>
          <w:sz w:val="28"/>
          <w:szCs w:val="22"/>
          <w:lang w:val="en-US" w:eastAsia="en-US" w:bidi="ar-SA"/>
        </w:rPr>
        <w:t>指导教师：</w:t>
      </w:r>
    </w:p>
    <w:p w14:paraId="555A7CF9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br w:type="page"/>
      </w:r>
    </w:p>
    <w:p w14:paraId="506AFDC1">
      <w:pPr>
        <w:pStyle w:val="167"/>
        <w:widowControl/>
        <w:outlineLvl w:val="9"/>
        <w:rPr>
          <w:rFonts w:ascii="Times New Roman" w:hAnsi="Times New Roman" w:eastAsia="黑体" w:cs="Times New Roman"/>
          <w:b w:val="0"/>
          <w:bCs w:val="0"/>
          <w:sz w:val="36"/>
          <w:szCs w:val="44"/>
        </w:rPr>
      </w:pPr>
      <w:r>
        <w:rPr>
          <w:rFonts w:ascii="Times New Roman" w:hAnsi="Times New Roman" w:eastAsia="黑体" w:cs="Times New Roman"/>
          <w:b w:val="0"/>
          <w:bCs w:val="0"/>
          <w:sz w:val="36"/>
          <w:szCs w:val="44"/>
        </w:rPr>
        <w:t>目　录</w:t>
      </w:r>
    </w:p>
    <w:p w14:paraId="5D9CFBB0">
      <w:pPr>
        <w:pStyle w:val="27"/>
        <w:tabs>
          <w:tab w:val="right" w:leader="dot" w:pos="8278"/>
        </w:tabs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_Toc7837 </w:instrText>
      </w:r>
      <w:r>
        <w:fldChar w:fldCharType="separate"/>
      </w:r>
      <w:r>
        <w:t>第 1 章 作品简介</w:t>
      </w:r>
      <w:r>
        <w:tab/>
      </w:r>
      <w:r>
        <w:fldChar w:fldCharType="begin"/>
      </w:r>
      <w:r>
        <w:instrText xml:space="preserve"> PAGEREF _Toc7837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B65FA2F">
      <w:pPr>
        <w:pStyle w:val="27"/>
        <w:tabs>
          <w:tab w:val="right" w:leader="dot" w:pos="8278"/>
        </w:tabs>
      </w:pPr>
      <w:r>
        <w:fldChar w:fldCharType="begin"/>
      </w:r>
      <w:r>
        <w:instrText xml:space="preserve"> HYPERLINK \l _Toc25896 </w:instrText>
      </w:r>
      <w:r>
        <w:fldChar w:fldCharType="separate"/>
      </w:r>
      <w:r>
        <w:rPr>
          <w:rFonts w:hint="eastAsia" w:eastAsia="黑体"/>
          <w:bCs w:val="0"/>
          <w:szCs w:val="44"/>
        </w:rPr>
        <w:t xml:space="preserve">第二章 </w:t>
      </w:r>
      <w:r>
        <w:rPr>
          <w:rFonts w:ascii="Times New Roman" w:hAnsi="Times New Roman" w:eastAsia="黑体" w:cs="Times New Roman"/>
          <w:bCs w:val="0"/>
          <w:szCs w:val="44"/>
        </w:rPr>
        <w:t>项目创新内容</w:t>
      </w:r>
      <w:r>
        <w:tab/>
      </w:r>
      <w:r>
        <w:fldChar w:fldCharType="begin"/>
      </w:r>
      <w:r>
        <w:instrText xml:space="preserve"> PAGEREF _Toc25896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9A42203">
      <w:pPr>
        <w:pStyle w:val="30"/>
        <w:tabs>
          <w:tab w:val="right" w:leader="dot" w:pos="8278"/>
        </w:tabs>
      </w:pPr>
      <w:r>
        <w:fldChar w:fldCharType="begin"/>
      </w:r>
      <w:r>
        <w:instrText xml:space="preserve"> HYPERLINK \l _Toc6609 </w:instrText>
      </w:r>
      <w:r>
        <w:fldChar w:fldCharType="separate"/>
      </w:r>
      <w:r>
        <w:rPr>
          <w:rFonts w:hint="default" w:eastAsia="黑体"/>
          <w:bCs w:val="0"/>
          <w:szCs w:val="32"/>
        </w:rPr>
        <w:t xml:space="preserve">2.1 </w:t>
      </w:r>
      <w:r>
        <w:rPr>
          <w:rFonts w:ascii="Times New Roman" w:hAnsi="Times New Roman" w:eastAsia="黑体" w:cs="Times New Roman"/>
          <w:bCs w:val="0"/>
          <w:szCs w:val="32"/>
        </w:rPr>
        <w:t>项目总体思路</w:t>
      </w:r>
      <w:r>
        <w:tab/>
      </w:r>
      <w:r>
        <w:fldChar w:fldCharType="begin"/>
      </w:r>
      <w:r>
        <w:instrText xml:space="preserve"> PAGEREF _Toc6609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E944D63">
      <w:pPr>
        <w:pStyle w:val="30"/>
        <w:tabs>
          <w:tab w:val="right" w:leader="dot" w:pos="8278"/>
        </w:tabs>
      </w:pPr>
      <w:r>
        <w:fldChar w:fldCharType="begin"/>
      </w:r>
      <w:r>
        <w:instrText xml:space="preserve"> HYPERLINK \l _Toc6181 </w:instrText>
      </w:r>
      <w:r>
        <w:fldChar w:fldCharType="separate"/>
      </w:r>
      <w:r>
        <w:rPr>
          <w:rFonts w:hint="default" w:eastAsia="黑体"/>
          <w:bCs w:val="0"/>
          <w:szCs w:val="32"/>
        </w:rPr>
        <w:t xml:space="preserve">2.2 </w:t>
      </w:r>
      <w:r>
        <w:rPr>
          <w:rFonts w:ascii="Times New Roman" w:hAnsi="Times New Roman" w:eastAsia="黑体" w:cs="Times New Roman"/>
          <w:bCs w:val="0"/>
          <w:szCs w:val="32"/>
        </w:rPr>
        <w:t>可行性分析</w:t>
      </w:r>
      <w:r>
        <w:tab/>
      </w:r>
      <w:r>
        <w:fldChar w:fldCharType="begin"/>
      </w:r>
      <w:r>
        <w:instrText xml:space="preserve"> PAGEREF _Toc6181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6F21ABC">
      <w:pPr>
        <w:pStyle w:val="24"/>
        <w:tabs>
          <w:tab w:val="right" w:leader="dot" w:pos="8278"/>
        </w:tabs>
      </w:pPr>
      <w:r>
        <w:fldChar w:fldCharType="begin"/>
      </w:r>
      <w:r>
        <w:instrText xml:space="preserve"> HYPERLINK \l _Toc26802 </w:instrText>
      </w:r>
      <w:r>
        <w:fldChar w:fldCharType="separate"/>
      </w:r>
      <w:r>
        <w:rPr>
          <w:rFonts w:hint="default" w:eastAsia="黑体"/>
          <w:bCs w:val="0"/>
          <w:szCs w:val="24"/>
        </w:rPr>
        <w:t xml:space="preserve">2.2.1 </w:t>
      </w:r>
      <w:r>
        <w:rPr>
          <w:rFonts w:ascii="Times New Roman" w:hAnsi="Times New Roman" w:eastAsia="黑体" w:cs="Times New Roman"/>
          <w:bCs w:val="0"/>
          <w:szCs w:val="24"/>
        </w:rPr>
        <w:t>技术原理科学性</w:t>
      </w:r>
      <w:r>
        <w:tab/>
      </w:r>
      <w:r>
        <w:fldChar w:fldCharType="begin"/>
      </w:r>
      <w:r>
        <w:instrText xml:space="preserve"> PAGEREF _Toc26802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336EE62">
      <w:pPr>
        <w:pStyle w:val="24"/>
        <w:tabs>
          <w:tab w:val="right" w:leader="dot" w:pos="8278"/>
        </w:tabs>
      </w:pPr>
      <w:r>
        <w:fldChar w:fldCharType="begin"/>
      </w:r>
      <w:r>
        <w:instrText xml:space="preserve"> HYPERLINK \l _Toc29474 </w:instrText>
      </w:r>
      <w:r>
        <w:fldChar w:fldCharType="separate"/>
      </w:r>
      <w:r>
        <w:rPr>
          <w:rFonts w:hint="default" w:eastAsia="黑体"/>
          <w:bCs w:val="0"/>
          <w:szCs w:val="24"/>
        </w:rPr>
        <w:t xml:space="preserve">2.2.2 </w:t>
      </w:r>
      <w:r>
        <w:rPr>
          <w:rFonts w:ascii="Times New Roman" w:hAnsi="Times New Roman" w:eastAsia="黑体" w:cs="Times New Roman"/>
          <w:bCs w:val="0"/>
          <w:szCs w:val="24"/>
        </w:rPr>
        <w:t>实施可行性：从数据到系统的落地路径</w:t>
      </w:r>
      <w:r>
        <w:tab/>
      </w:r>
      <w:r>
        <w:fldChar w:fldCharType="begin"/>
      </w:r>
      <w:r>
        <w:instrText xml:space="preserve"> PAGEREF _Toc29474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BC9F09D">
      <w:pPr>
        <w:pStyle w:val="30"/>
        <w:tabs>
          <w:tab w:val="right" w:leader="dot" w:pos="8278"/>
        </w:tabs>
      </w:pPr>
      <w:r>
        <w:fldChar w:fldCharType="begin"/>
      </w:r>
      <w:r>
        <w:instrText xml:space="preserve"> HYPERLINK \l _Toc889 </w:instrText>
      </w:r>
      <w:r>
        <w:fldChar w:fldCharType="separate"/>
      </w:r>
      <w:r>
        <w:rPr>
          <w:rFonts w:hint="default" w:eastAsia="黑体"/>
          <w:bCs w:val="0"/>
          <w:szCs w:val="32"/>
        </w:rPr>
        <w:t xml:space="preserve">2.3 </w:t>
      </w:r>
      <w:r>
        <w:rPr>
          <w:rFonts w:ascii="Times New Roman" w:hAnsi="Times New Roman" w:eastAsia="黑体" w:cs="Times New Roman"/>
          <w:bCs w:val="0"/>
          <w:szCs w:val="32"/>
        </w:rPr>
        <w:t>本项目的特色与创新之处</w:t>
      </w:r>
      <w:r>
        <w:tab/>
      </w:r>
      <w:r>
        <w:fldChar w:fldCharType="begin"/>
      </w:r>
      <w:r>
        <w:instrText xml:space="preserve"> PAGEREF _Toc889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D230823">
      <w:pPr>
        <w:pStyle w:val="30"/>
        <w:tabs>
          <w:tab w:val="right" w:leader="dot" w:pos="8278"/>
        </w:tabs>
      </w:pPr>
      <w:r>
        <w:fldChar w:fldCharType="begin"/>
      </w:r>
      <w:r>
        <w:instrText xml:space="preserve"> HYPERLINK \l _Toc6063 </w:instrText>
      </w:r>
      <w:r>
        <w:fldChar w:fldCharType="separate"/>
      </w:r>
      <w:r>
        <w:rPr>
          <w:rFonts w:hint="default" w:eastAsia="黑体"/>
          <w:bCs w:val="0"/>
          <w:szCs w:val="32"/>
        </w:rPr>
        <w:t xml:space="preserve">2.4 </w:t>
      </w:r>
      <w:r>
        <w:rPr>
          <w:rFonts w:ascii="Times New Roman" w:hAnsi="Times New Roman" w:eastAsia="黑体" w:cs="Times New Roman"/>
          <w:bCs w:val="0"/>
          <w:szCs w:val="32"/>
        </w:rPr>
        <w:t>预测内容与预期成效</w:t>
      </w:r>
      <w:r>
        <w:tab/>
      </w:r>
      <w:r>
        <w:fldChar w:fldCharType="begin"/>
      </w:r>
      <w:r>
        <w:instrText xml:space="preserve"> PAGEREF _Toc6063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3D2B387">
      <w:pPr>
        <w:pStyle w:val="27"/>
        <w:tabs>
          <w:tab w:val="right" w:leader="dot" w:pos="8278"/>
        </w:tabs>
      </w:pPr>
      <w:r>
        <w:fldChar w:fldCharType="begin"/>
      </w:r>
      <w:r>
        <w:instrText xml:space="preserve"> HYPERLINK \l _Toc20173 </w:instrText>
      </w:r>
      <w:r>
        <w:fldChar w:fldCharType="separate"/>
      </w:r>
      <w:r>
        <w:rPr>
          <w:rFonts w:hint="eastAsia" w:eastAsia="黑体"/>
          <w:bCs w:val="0"/>
          <w:szCs w:val="44"/>
        </w:rPr>
        <w:t xml:space="preserve">第三章 </w:t>
      </w:r>
      <w:r>
        <w:rPr>
          <w:rFonts w:ascii="Times New Roman" w:hAnsi="Times New Roman" w:eastAsia="黑体" w:cs="Times New Roman"/>
          <w:bCs w:val="0"/>
          <w:szCs w:val="44"/>
        </w:rPr>
        <w:t>实施方案</w:t>
      </w:r>
      <w:r>
        <w:tab/>
      </w:r>
      <w:r>
        <w:fldChar w:fldCharType="begin"/>
      </w:r>
      <w:r>
        <w:instrText xml:space="preserve"> PAGEREF _Toc20173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28D7AD6E">
      <w:pPr>
        <w:pStyle w:val="30"/>
        <w:tabs>
          <w:tab w:val="right" w:leader="dot" w:pos="8278"/>
        </w:tabs>
      </w:pPr>
      <w:r>
        <w:fldChar w:fldCharType="begin"/>
      </w:r>
      <w:r>
        <w:instrText xml:space="preserve"> HYPERLINK \l _Toc17376 </w:instrText>
      </w:r>
      <w:r>
        <w:fldChar w:fldCharType="separate"/>
      </w:r>
      <w:r>
        <w:rPr>
          <w:rFonts w:hint="default" w:eastAsia="黑体"/>
          <w:bCs w:val="0"/>
          <w:szCs w:val="32"/>
        </w:rPr>
        <w:t xml:space="preserve">3.1 </w:t>
      </w:r>
      <w:r>
        <w:rPr>
          <w:rFonts w:ascii="Times New Roman" w:hAnsi="Times New Roman" w:eastAsia="黑体" w:cs="Times New Roman"/>
          <w:bCs w:val="0"/>
          <w:szCs w:val="32"/>
        </w:rPr>
        <w:t>系统架构（四层）</w:t>
      </w:r>
      <w:r>
        <w:tab/>
      </w:r>
      <w:r>
        <w:fldChar w:fldCharType="begin"/>
      </w:r>
      <w:r>
        <w:instrText xml:space="preserve"> PAGEREF _Toc17376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3A0A379F">
      <w:pPr>
        <w:pStyle w:val="30"/>
        <w:tabs>
          <w:tab w:val="right" w:leader="dot" w:pos="8278"/>
        </w:tabs>
      </w:pPr>
      <w:r>
        <w:fldChar w:fldCharType="begin"/>
      </w:r>
      <w:r>
        <w:instrText xml:space="preserve"> HYPERLINK \l _Toc29781 </w:instrText>
      </w:r>
      <w:r>
        <w:fldChar w:fldCharType="separate"/>
      </w:r>
      <w:r>
        <w:rPr>
          <w:rFonts w:hint="default" w:eastAsia="黑体"/>
          <w:bCs w:val="0"/>
          <w:szCs w:val="32"/>
        </w:rPr>
        <w:t xml:space="preserve">3.2 </w:t>
      </w:r>
      <w:r>
        <w:rPr>
          <w:rFonts w:ascii="Times New Roman" w:hAnsi="Times New Roman" w:eastAsia="黑体" w:cs="Times New Roman"/>
          <w:bCs w:val="0"/>
          <w:szCs w:val="32"/>
        </w:rPr>
        <w:t>核心模块设计</w:t>
      </w:r>
      <w:r>
        <w:tab/>
      </w:r>
      <w:r>
        <w:fldChar w:fldCharType="begin"/>
      </w:r>
      <w:r>
        <w:instrText xml:space="preserve"> PAGEREF _Toc29781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4C157D8F">
      <w:pPr>
        <w:pStyle w:val="30"/>
        <w:tabs>
          <w:tab w:val="right" w:leader="dot" w:pos="8278"/>
        </w:tabs>
      </w:pPr>
      <w:r>
        <w:fldChar w:fldCharType="begin"/>
      </w:r>
      <w:r>
        <w:instrText xml:space="preserve"> HYPERLINK \l _Toc22296 </w:instrText>
      </w:r>
      <w:r>
        <w:fldChar w:fldCharType="separate"/>
      </w:r>
      <w:r>
        <w:rPr>
          <w:rFonts w:hint="default" w:eastAsia="黑体"/>
          <w:bCs w:val="0"/>
          <w:szCs w:val="32"/>
        </w:rPr>
        <w:t xml:space="preserve">3.3 </w:t>
      </w:r>
      <w:r>
        <w:rPr>
          <w:rFonts w:ascii="Times New Roman" w:hAnsi="Times New Roman" w:eastAsia="黑体" w:cs="Times New Roman"/>
          <w:bCs w:val="0"/>
          <w:szCs w:val="32"/>
        </w:rPr>
        <w:t>技术路线</w:t>
      </w:r>
      <w:r>
        <w:tab/>
      </w:r>
      <w:r>
        <w:fldChar w:fldCharType="begin"/>
      </w:r>
      <w:r>
        <w:instrText xml:space="preserve"> PAGEREF _Toc22296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436FED69">
      <w:pPr>
        <w:pStyle w:val="30"/>
        <w:tabs>
          <w:tab w:val="right" w:leader="dot" w:pos="8278"/>
        </w:tabs>
      </w:pPr>
      <w:r>
        <w:fldChar w:fldCharType="begin"/>
      </w:r>
      <w:r>
        <w:instrText xml:space="preserve"> HYPERLINK \l _Toc10457 </w:instrText>
      </w:r>
      <w:r>
        <w:fldChar w:fldCharType="separate"/>
      </w:r>
      <w:r>
        <w:rPr>
          <w:rFonts w:hint="default" w:eastAsia="黑体"/>
          <w:bCs w:val="0"/>
          <w:szCs w:val="32"/>
        </w:rPr>
        <w:t xml:space="preserve">3.4 </w:t>
      </w:r>
      <w:r>
        <w:rPr>
          <w:rFonts w:ascii="Times New Roman" w:hAnsi="Times New Roman" w:eastAsia="黑体" w:cs="Times New Roman"/>
          <w:bCs w:val="0"/>
          <w:szCs w:val="32"/>
        </w:rPr>
        <w:t>实验与验证手段</w:t>
      </w:r>
      <w:r>
        <w:tab/>
      </w:r>
      <w:r>
        <w:fldChar w:fldCharType="begin"/>
      </w:r>
      <w:r>
        <w:instrText xml:space="preserve"> PAGEREF _Toc10457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178CC740">
      <w:pPr>
        <w:pStyle w:val="30"/>
        <w:tabs>
          <w:tab w:val="right" w:leader="dot" w:pos="8278"/>
        </w:tabs>
      </w:pPr>
      <w:r>
        <w:fldChar w:fldCharType="begin"/>
      </w:r>
      <w:r>
        <w:instrText xml:space="preserve"> HYPERLINK \l _Toc559 </w:instrText>
      </w:r>
      <w:r>
        <w:fldChar w:fldCharType="separate"/>
      </w:r>
      <w:r>
        <w:rPr>
          <w:rFonts w:hint="default" w:eastAsia="黑体"/>
          <w:bCs w:val="0"/>
          <w:szCs w:val="32"/>
        </w:rPr>
        <w:t xml:space="preserve">3.5 </w:t>
      </w:r>
      <w:r>
        <w:rPr>
          <w:rFonts w:ascii="Times New Roman" w:hAnsi="Times New Roman" w:eastAsia="黑体" w:cs="Times New Roman"/>
          <w:bCs w:val="0"/>
          <w:szCs w:val="32"/>
        </w:rPr>
        <w:t>关键技术方案（难点 → 对策）</w:t>
      </w:r>
      <w:r>
        <w:tab/>
      </w:r>
      <w:r>
        <w:fldChar w:fldCharType="begin"/>
      </w:r>
      <w:r>
        <w:instrText xml:space="preserve"> PAGEREF _Toc559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4B0F8824">
      <w:pPr>
        <w:pStyle w:val="30"/>
        <w:tabs>
          <w:tab w:val="right" w:leader="dot" w:pos="8278"/>
        </w:tabs>
      </w:pPr>
      <w:r>
        <w:fldChar w:fldCharType="begin"/>
      </w:r>
      <w:r>
        <w:instrText xml:space="preserve"> HYPERLINK \l _Toc5198 </w:instrText>
      </w:r>
      <w:r>
        <w:fldChar w:fldCharType="separate"/>
      </w:r>
      <w:r>
        <w:rPr>
          <w:rFonts w:hint="default" w:eastAsia="黑体"/>
          <w:bCs w:val="0"/>
          <w:szCs w:val="32"/>
        </w:rPr>
        <w:t xml:space="preserve">3.6 </w:t>
      </w:r>
      <w:r>
        <w:rPr>
          <w:rFonts w:ascii="Times New Roman" w:hAnsi="Times New Roman" w:eastAsia="黑体" w:cs="Times New Roman"/>
          <w:bCs w:val="0"/>
          <w:szCs w:val="32"/>
        </w:rPr>
        <w:t>实现形态与使用说明</w:t>
      </w:r>
      <w:r>
        <w:tab/>
      </w:r>
      <w:r>
        <w:fldChar w:fldCharType="begin"/>
      </w:r>
      <w:r>
        <w:instrText xml:space="preserve"> PAGEREF _Toc5198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23B33170">
      <w:pPr>
        <w:pStyle w:val="24"/>
        <w:tabs>
          <w:tab w:val="right" w:leader="dot" w:pos="8278"/>
        </w:tabs>
      </w:pPr>
      <w:r>
        <w:fldChar w:fldCharType="begin"/>
      </w:r>
      <w:r>
        <w:instrText xml:space="preserve"> HYPERLINK \l _Toc9657 </w:instrText>
      </w:r>
      <w:r>
        <w:fldChar w:fldCharType="separate"/>
      </w:r>
      <w:r>
        <w:rPr>
          <w:rFonts w:hint="default" w:eastAsia="黑体"/>
          <w:bCs w:val="0"/>
          <w:szCs w:val="24"/>
        </w:rPr>
        <w:t xml:space="preserve">A. </w:t>
      </w:r>
      <w:r>
        <w:rPr>
          <w:rFonts w:ascii="Times New Roman" w:hAnsi="Times New Roman" w:eastAsia="黑体" w:cs="Times New Roman"/>
          <w:bCs w:val="0"/>
          <w:szCs w:val="24"/>
        </w:rPr>
        <w:t>三种上手方式（Windows / PowerShell 实测）</w:t>
      </w:r>
      <w:r>
        <w:tab/>
      </w:r>
      <w:r>
        <w:fldChar w:fldCharType="begin"/>
      </w:r>
      <w:r>
        <w:instrText xml:space="preserve"> PAGEREF _Toc9657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546AD604">
      <w:pPr>
        <w:pStyle w:val="24"/>
        <w:tabs>
          <w:tab w:val="right" w:leader="dot" w:pos="8278"/>
        </w:tabs>
      </w:pPr>
      <w:r>
        <w:fldChar w:fldCharType="begin"/>
      </w:r>
      <w:r>
        <w:instrText xml:space="preserve"> HYPERLINK \l _Toc29584 </w:instrText>
      </w:r>
      <w:r>
        <w:fldChar w:fldCharType="separate"/>
      </w:r>
      <w:r>
        <w:rPr>
          <w:rFonts w:hint="default" w:eastAsia="黑体"/>
          <w:bCs w:val="0"/>
          <w:szCs w:val="24"/>
        </w:rPr>
        <w:t xml:space="preserve">B. </w:t>
      </w:r>
      <w:r>
        <w:rPr>
          <w:rFonts w:ascii="Times New Roman" w:hAnsi="Times New Roman" w:eastAsia="黑体" w:cs="Times New Roman"/>
          <w:bCs w:val="0"/>
          <w:szCs w:val="24"/>
        </w:rPr>
        <w:t>命令参考</w:t>
      </w:r>
      <w:r>
        <w:tab/>
      </w:r>
      <w:r>
        <w:fldChar w:fldCharType="begin"/>
      </w:r>
      <w:r>
        <w:instrText xml:space="preserve"> PAGEREF _Toc29584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2D58B952">
      <w:pPr>
        <w:pStyle w:val="24"/>
        <w:tabs>
          <w:tab w:val="right" w:leader="dot" w:pos="8278"/>
        </w:tabs>
      </w:pPr>
      <w:r>
        <w:fldChar w:fldCharType="begin"/>
      </w:r>
      <w:r>
        <w:instrText xml:space="preserve"> HYPERLINK \l _Toc14193 </w:instrText>
      </w:r>
      <w:r>
        <w:fldChar w:fldCharType="separate"/>
      </w:r>
      <w:r>
        <w:rPr>
          <w:rFonts w:hint="default" w:eastAsia="黑体"/>
          <w:bCs w:val="0"/>
          <w:szCs w:val="24"/>
        </w:rPr>
        <w:t xml:space="preserve">C. </w:t>
      </w:r>
      <w:r>
        <w:rPr>
          <w:rFonts w:ascii="Times New Roman" w:hAnsi="Times New Roman" w:eastAsia="黑体" w:cs="Times New Roman"/>
          <w:bCs w:val="0"/>
          <w:szCs w:val="24"/>
        </w:rPr>
        <w:t>本地工作台六步操作（图 3-13）</w:t>
      </w:r>
      <w:r>
        <w:tab/>
      </w:r>
      <w:r>
        <w:fldChar w:fldCharType="begin"/>
      </w:r>
      <w:r>
        <w:instrText xml:space="preserve"> PAGEREF _Toc14193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4DA3E725">
      <w:pPr>
        <w:pStyle w:val="24"/>
        <w:tabs>
          <w:tab w:val="right" w:leader="dot" w:pos="8278"/>
        </w:tabs>
      </w:pPr>
      <w:r>
        <w:fldChar w:fldCharType="begin"/>
      </w:r>
      <w:r>
        <w:instrText xml:space="preserve"> HYPERLINK \l _Toc2194 </w:instrText>
      </w:r>
      <w:r>
        <w:fldChar w:fldCharType="separate"/>
      </w:r>
      <w:r>
        <w:rPr>
          <w:rFonts w:hint="default" w:eastAsia="黑体"/>
          <w:bCs w:val="0"/>
          <w:szCs w:val="24"/>
        </w:rPr>
        <w:t xml:space="preserve">D. </w:t>
      </w:r>
      <w:r>
        <w:rPr>
          <w:rFonts w:ascii="Times New Roman" w:hAnsi="Times New Roman" w:eastAsia="黑体" w:cs="Times New Roman"/>
          <w:bCs w:val="0"/>
          <w:szCs w:val="24"/>
        </w:rPr>
        <w:t>现场接入需要的数据字段</w:t>
      </w:r>
      <w:r>
        <w:tab/>
      </w:r>
      <w:r>
        <w:fldChar w:fldCharType="begin"/>
      </w:r>
      <w:r>
        <w:instrText xml:space="preserve"> PAGEREF _Toc2194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5E066D43">
      <w:pPr>
        <w:pStyle w:val="24"/>
        <w:tabs>
          <w:tab w:val="right" w:leader="dot" w:pos="8278"/>
        </w:tabs>
      </w:pPr>
      <w:r>
        <w:fldChar w:fldCharType="begin"/>
      </w:r>
      <w:r>
        <w:instrText xml:space="preserve"> HYPERLINK \l _Toc4118 </w:instrText>
      </w:r>
      <w:r>
        <w:fldChar w:fldCharType="separate"/>
      </w:r>
      <w:r>
        <w:rPr>
          <w:rFonts w:hint="default" w:eastAsia="黑体"/>
          <w:bCs w:val="0"/>
          <w:szCs w:val="24"/>
        </w:rPr>
        <w:t xml:space="preserve">E. </w:t>
      </w:r>
      <w:r>
        <w:rPr>
          <w:rFonts w:ascii="Times New Roman" w:hAnsi="Times New Roman" w:eastAsia="黑体" w:cs="Times New Roman"/>
          <w:bCs w:val="0"/>
          <w:szCs w:val="24"/>
        </w:rPr>
        <w:t>现场接入的 POC 四步（图 3-25）</w:t>
      </w:r>
      <w:r>
        <w:tab/>
      </w:r>
      <w:r>
        <w:fldChar w:fldCharType="begin"/>
      </w:r>
      <w:r>
        <w:instrText xml:space="preserve"> PAGEREF _Toc4118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0CFEEA05">
      <w:pPr>
        <w:pStyle w:val="27"/>
        <w:tabs>
          <w:tab w:val="right" w:leader="dot" w:pos="8278"/>
        </w:tabs>
      </w:pPr>
      <w:r>
        <w:fldChar w:fldCharType="begin"/>
      </w:r>
      <w:r>
        <w:instrText xml:space="preserve"> HYPERLINK \l _Toc21825 </w:instrText>
      </w:r>
      <w:r>
        <w:fldChar w:fldCharType="separate"/>
      </w:r>
      <w:r>
        <w:rPr>
          <w:rFonts w:hint="eastAsia" w:eastAsia="黑体"/>
          <w:bCs w:val="0"/>
          <w:szCs w:val="44"/>
        </w:rPr>
        <w:t xml:space="preserve">第四章 </w:t>
      </w:r>
      <w:r>
        <w:rPr>
          <w:rFonts w:ascii="Times New Roman" w:hAnsi="Times New Roman" w:eastAsia="黑体" w:cs="Times New Roman"/>
          <w:bCs w:val="0"/>
          <w:szCs w:val="44"/>
        </w:rPr>
        <w:t>价值、潜力及影响</w:t>
      </w:r>
      <w:r>
        <w:tab/>
      </w:r>
      <w:r>
        <w:fldChar w:fldCharType="begin"/>
      </w:r>
      <w:r>
        <w:instrText xml:space="preserve"> PAGEREF _Toc21825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24EBCF95">
      <w:r>
        <w:fldChar w:fldCharType="end"/>
      </w:r>
    </w:p>
    <w:p w14:paraId="1998915B">
      <w:r>
        <w:br w:type="page"/>
      </w:r>
    </w:p>
    <w:p w14:paraId="6130B494">
      <w:pPr>
        <w:pStyle w:val="3"/>
      </w:pPr>
      <w:bookmarkStart w:id="0" w:name="_Toc7837"/>
      <w:r>
        <w:t>第 1 章 作品简介</w:t>
      </w:r>
      <w:bookmarkEnd w:id="0"/>
    </w:p>
    <w:p w14:paraId="1C4CDAEC">
      <w:pPr>
        <w:jc w:val="center"/>
      </w:pPr>
      <w:r>
        <w:drawing>
          <wp:inline distT="0" distB="0" distL="114300" distR="114300">
            <wp:extent cx="5255895" cy="2580005"/>
            <wp:effectExtent l="0" t="0" r="190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58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2972">
      <w:pPr>
        <w:pStyle w:val="168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1-1　系统架构：数据 → 算法 → 服务 → 交付四层（全部可离线运行）</w:t>
      </w:r>
    </w:p>
    <w:p w14:paraId="0BABACFD">
      <w:pPr>
        <w:jc w:val="center"/>
      </w:pPr>
      <w:r>
        <w:drawing>
          <wp:inline distT="0" distB="0" distL="114300" distR="114300">
            <wp:extent cx="5255895" cy="200660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006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9E94C">
      <w:pPr>
        <w:pStyle w:val="168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1-2　四段技术链路与每段的关键数字</w:t>
      </w:r>
    </w:p>
    <w:p w14:paraId="63029E6B">
      <w:pPr>
        <w:jc w:val="center"/>
      </w:pPr>
      <w:r>
        <w:drawing>
          <wp:inline distT="0" distB="0" distL="114300" distR="114300">
            <wp:extent cx="5255895" cy="1910715"/>
            <wp:effectExtent l="0" t="0" r="190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91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A567">
      <w:pPr>
        <w:pStyle w:val="168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1-3　检测判据机制示意：双基线 + 事件机 + P1/P2/P3 分级</w:t>
      </w:r>
    </w:p>
    <w:p w14:paraId="698C0CF4">
      <w:pPr>
        <w:jc w:val="center"/>
      </w:pPr>
      <w:r>
        <w:drawing>
          <wp:inline distT="0" distB="0" distL="114300" distR="114300">
            <wp:extent cx="4418330" cy="3854450"/>
            <wp:effectExtent l="0" t="0" r="127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rcRect l="9883" r="12492" b="30347"/>
                    <a:stretch>
                      <a:fillRect/>
                    </a:stretch>
                  </pic:blipFill>
                  <pic:spPr>
                    <a:xfrm>
                      <a:off x="0" y="0"/>
                      <a:ext cx="441833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F46DB">
      <w:pPr>
        <w:pStyle w:val="168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1-4　线上落地页：作品入口与三条主线</w:t>
      </w:r>
    </w:p>
    <w:p w14:paraId="160D73FD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一句话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：澜脉是一套</w:t>
      </w:r>
      <w:r>
        <w:rPr>
          <w:rFonts w:ascii="Times New Roman" w:hAnsi="Times New Roman" w:eastAsia="宋体" w:cs="Times New Roman"/>
          <w:b/>
          <w:sz w:val="24"/>
          <w:szCs w:val="24"/>
        </w:rPr>
        <w:t>纯软件的污水厂设备 AI 预测性维护系统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 —— 不新增任何传感器，只用厂里本来就在记录的电流、温度、压力、流量等信号，回答四个问题：</w:t>
      </w:r>
      <w:r>
        <w:rPr>
          <w:rFonts w:ascii="Times New Roman" w:hAnsi="Times New Roman" w:eastAsia="宋体" w:cs="Times New Roman"/>
          <w:b/>
          <w:sz w:val="24"/>
          <w:szCs w:val="24"/>
        </w:rPr>
        <w:t>有没有异常 → 是什么故障 → 还剩多久 → 什么时候修最省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。</w:t>
      </w:r>
    </w:p>
    <w:p w14:paraId="348FF26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解决什么痛点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：污水厂的关键设备（鼓风机、脱水机、提升泵、回流泵）目前普遍是「坏了才修 + 定期大修」：非计划停机代价高，备件与人工被浪费在还没坏的设备上；而厂里其实</w:t>
      </w:r>
      <w:r>
        <w:rPr>
          <w:rFonts w:ascii="Times New Roman" w:hAnsi="Times New Roman" w:eastAsia="宋体" w:cs="Times New Roman"/>
          <w:b/>
          <w:sz w:val="24"/>
          <w:szCs w:val="24"/>
        </w:rPr>
        <w:t>已经有足够多的运行数据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，缺的是「能从数据里看出设备在退化」的方法与工具。</w:t>
      </w:r>
    </w:p>
    <w:p w14:paraId="4BE2055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项目定位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：面向市政污水厂（TO B / TO G）的</w:t>
      </w:r>
      <w:r>
        <w:rPr>
          <w:rFonts w:ascii="Times New Roman" w:hAnsi="Times New Roman" w:eastAsia="宋体" w:cs="Times New Roman"/>
          <w:b/>
          <w:sz w:val="24"/>
          <w:szCs w:val="24"/>
        </w:rPr>
        <w:t>设备健康管理软件 + 接入标定服务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；形态是可离线部署的本地工具（命令行 + 本地网页工作台 + 企业版报告），不涉及硬件、不涉及垫资。</w:t>
      </w:r>
    </w:p>
    <w:p w14:paraId="7C12CB6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与命题的对应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：命题 2-6 要求「基于 AI 的设备预测性维护与管理技术与解决方案」。本作品交付的是</w:t>
      </w:r>
      <w:r>
        <w:rPr>
          <w:rFonts w:ascii="Times New Roman" w:hAnsi="Times New Roman" w:eastAsia="宋体" w:cs="Times New Roman"/>
          <w:b/>
          <w:sz w:val="24"/>
          <w:szCs w:val="24"/>
        </w:rPr>
        <w:t>检测 → 诊断 → 剩余寿命 → 维护决策的完整闭环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，以及</w:t>
      </w:r>
      <w:r>
        <w:rPr>
          <w:rFonts w:ascii="Times New Roman" w:hAnsi="Times New Roman" w:eastAsia="宋体" w:cs="Times New Roman"/>
          <w:b/>
          <w:sz w:val="24"/>
          <w:szCs w:val="24"/>
        </w:rPr>
        <w:t>让现场把数据接进来的标定工具与报告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，而不是单点算法演示。</w:t>
      </w:r>
    </w:p>
    <w:p w14:paraId="5C9EDAC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作品形态一览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：见图 1-1系统架构、图 1-2四段链路、图 1-3检测判据机制；线上落地页与演示入口见图 1-4。</w:t>
      </w:r>
    </w:p>
    <w:p w14:paraId="39FFC154"/>
    <w:p w14:paraId="12231592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br w:type="page"/>
      </w:r>
    </w:p>
    <w:p w14:paraId="13150B37">
      <w:pPr>
        <w:pStyle w:val="3"/>
        <w:numPr>
          <w:ilvl w:val="0"/>
          <w:numId w:val="7"/>
        </w:numPr>
        <w:ind w:left="0" w:leftChars="0" w:firstLine="0" w:firstLineChars="0"/>
        <w:rPr>
          <w:rFonts w:eastAsia="黑体"/>
          <w:b w:val="0"/>
          <w:bCs w:val="0"/>
          <w:sz w:val="32"/>
          <w:szCs w:val="44"/>
        </w:rPr>
      </w:pPr>
      <w:bookmarkStart w:id="1" w:name="_Toc25896"/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项目创新内容</w:t>
      </w:r>
      <w:bookmarkEnd w:id="1"/>
    </w:p>
    <w:p w14:paraId="54E83059">
      <w:pPr>
        <w:pStyle w:val="4"/>
        <w:numPr>
          <w:ilvl w:val="0"/>
          <w:numId w:val="8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</w:rPr>
      </w:pPr>
      <w:bookmarkStart w:id="2" w:name="_Toc6609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项目总体思路</w:t>
      </w:r>
      <w:bookmarkEnd w:id="2"/>
    </w:p>
    <w:p w14:paraId="54903570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四段链路，每段都有明确的输入、输出与验证方式（图 1-2）：</w:t>
      </w:r>
    </w:p>
    <w:tbl>
      <w:tblPr>
        <w:tblStyle w:val="3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2123"/>
        <w:gridCol w:w="2123"/>
        <w:gridCol w:w="2123"/>
      </w:tblGrid>
      <w:tr w14:paraId="07A74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  <w:shd w:val="clear" w:color="auto" w:fill="F0F6FB"/>
          </w:tcPr>
          <w:p w14:paraId="17CB171B">
            <w:pPr>
              <w:spacing w:after="0" w:line="240" w:lineRule="auto"/>
            </w:pPr>
            <w:r>
              <w:rPr>
                <w:rFonts w:ascii="Arial" w:hAnsi="Arial" w:eastAsia="黑体"/>
                <w:b/>
                <w:sz w:val="21"/>
              </w:rPr>
              <w:t>环节</w:t>
            </w:r>
          </w:p>
        </w:tc>
        <w:tc>
          <w:tcPr>
            <w:tcW w:w="1250" w:type="pct"/>
            <w:shd w:val="clear" w:color="auto" w:fill="F0F6FB"/>
          </w:tcPr>
          <w:p w14:paraId="1CD46C1A">
            <w:pPr>
              <w:spacing w:after="0" w:line="240" w:lineRule="auto"/>
            </w:pPr>
            <w:r>
              <w:rPr>
                <w:rFonts w:ascii="Arial" w:hAnsi="Arial" w:eastAsia="黑体"/>
                <w:b/>
                <w:sz w:val="21"/>
              </w:rPr>
              <w:t>回答的问题</w:t>
            </w:r>
          </w:p>
        </w:tc>
        <w:tc>
          <w:tcPr>
            <w:tcW w:w="1250" w:type="pct"/>
            <w:shd w:val="clear" w:color="auto" w:fill="F0F6FB"/>
          </w:tcPr>
          <w:p w14:paraId="39DCE076">
            <w:pPr>
              <w:spacing w:after="0" w:line="240" w:lineRule="auto"/>
            </w:pPr>
            <w:r>
              <w:rPr>
                <w:rFonts w:ascii="Arial" w:hAnsi="Arial" w:eastAsia="黑体"/>
                <w:b/>
                <w:sz w:val="21"/>
              </w:rPr>
              <w:t>方法</w:t>
            </w:r>
          </w:p>
        </w:tc>
        <w:tc>
          <w:tcPr>
            <w:tcW w:w="1250" w:type="pct"/>
            <w:shd w:val="clear" w:color="auto" w:fill="F0F6FB"/>
          </w:tcPr>
          <w:p w14:paraId="49A10756">
            <w:pPr>
              <w:spacing w:after="0" w:line="240" w:lineRule="auto"/>
            </w:pPr>
            <w:r>
              <w:rPr>
                <w:rFonts w:ascii="Arial" w:hAnsi="Arial" w:eastAsia="黑体"/>
                <w:b/>
                <w:sz w:val="21"/>
              </w:rPr>
              <w:t>输出</w:t>
            </w:r>
          </w:p>
        </w:tc>
      </w:tr>
      <w:tr w14:paraId="493B9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6ADA1CF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① 检测</w:t>
            </w:r>
          </w:p>
        </w:tc>
        <w:tc>
          <w:tcPr>
            <w:tcW w:w="1250" w:type="pct"/>
          </w:tcPr>
          <w:p w14:paraId="2C72CB5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设备有没有异常/退化</w:t>
            </w:r>
          </w:p>
        </w:tc>
        <w:tc>
          <w:tcPr>
            <w:tcW w:w="1250" w:type="pct"/>
          </w:tcPr>
          <w:p w14:paraId="43FE527E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双基线并行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（冻结抓慢漂移 + 短窗自适应抓突变）+ </w:t>
            </w:r>
            <w:r>
              <w:rPr>
                <w:rFonts w:ascii="Times New Roman" w:hAnsi="Times New Roman" w:eastAsia="宋体"/>
                <w:b/>
                <w:sz w:val="21"/>
              </w:rPr>
              <w:t>工况条件化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+ 事件机</w:t>
            </w:r>
          </w:p>
        </w:tc>
        <w:tc>
          <w:tcPr>
            <w:tcW w:w="1250" w:type="pct"/>
          </w:tcPr>
          <w:p w14:paraId="2094E39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分级告警 </w:t>
            </w:r>
            <w:r>
              <w:rPr>
                <w:rFonts w:ascii="Times New Roman" w:hAnsi="Times New Roman" w:eastAsia="宋体"/>
                <w:b/>
                <w:sz w:val="21"/>
              </w:rPr>
              <w:t>P1 / P2 / P3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+ 严重度（分布位置比值）</w:t>
            </w:r>
          </w:p>
        </w:tc>
      </w:tr>
      <w:tr w14:paraId="0E82F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1A96581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② 诊断</w:t>
            </w:r>
          </w:p>
        </w:tc>
        <w:tc>
          <w:tcPr>
            <w:tcW w:w="1250" w:type="pct"/>
          </w:tcPr>
          <w:p w14:paraId="4CA5231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是什么故障</w:t>
            </w:r>
          </w:p>
        </w:tc>
        <w:tc>
          <w:tcPr>
            <w:tcW w:w="1250" w:type="pct"/>
          </w:tcPr>
          <w:p w14:paraId="4B6F45C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振动/电流特征 + 分类器（迁移自 CWRU 轴承基准）</w:t>
            </w:r>
          </w:p>
        </w:tc>
        <w:tc>
          <w:tcPr>
            <w:tcW w:w="1250" w:type="pct"/>
          </w:tcPr>
          <w:p w14:paraId="2687F7C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部件级故障类型</w:t>
            </w:r>
          </w:p>
        </w:tc>
      </w:tr>
      <w:tr w14:paraId="1D33E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2656917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③ 剩余寿命</w:t>
            </w:r>
          </w:p>
        </w:tc>
        <w:tc>
          <w:tcPr>
            <w:tcW w:w="1250" w:type="pct"/>
          </w:tcPr>
          <w:p w14:paraId="6176BAB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还能撑多久</w:t>
            </w:r>
          </w:p>
        </w:tc>
        <w:tc>
          <w:tcPr>
            <w:tcW w:w="1250" w:type="pct"/>
          </w:tcPr>
          <w:p w14:paraId="443C21ED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机理量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线性外推 + </w:t>
            </w:r>
            <w:r>
              <w:rPr>
                <w:rFonts w:ascii="Times New Roman" w:hAnsi="Times New Roman" w:eastAsia="宋体"/>
                <w:b/>
                <w:sz w:val="21"/>
              </w:rPr>
              <w:t>趋势门控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+ 拟合窗长匹配</w:t>
            </w:r>
          </w:p>
        </w:tc>
        <w:tc>
          <w:tcPr>
            <w:tcW w:w="1250" w:type="pct"/>
          </w:tcPr>
          <w:p w14:paraId="68E84D6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剩余天数 + 可用性判定</w:t>
            </w:r>
          </w:p>
        </w:tc>
      </w:tr>
      <w:tr w14:paraId="4283C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704F985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④ 决策</w:t>
            </w:r>
          </w:p>
        </w:tc>
        <w:tc>
          <w:tcPr>
            <w:tcW w:w="1250" w:type="pct"/>
          </w:tcPr>
          <w:p w14:paraId="05A18D6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什么时候修最省</w:t>
            </w:r>
          </w:p>
        </w:tc>
        <w:tc>
          <w:tcPr>
            <w:tcW w:w="1250" w:type="pct"/>
          </w:tcPr>
          <w:p w14:paraId="4301F58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RUL 驱动排程 vs 固定周期/报警即处置；三项成本 + 蒙特卡洛</w:t>
            </w:r>
          </w:p>
        </w:tc>
        <w:tc>
          <w:tcPr>
            <w:tcW w:w="1250" w:type="pct"/>
          </w:tcPr>
          <w:p w14:paraId="55F5485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维护策略对比与节省比例</w:t>
            </w:r>
          </w:p>
        </w:tc>
      </w:tr>
    </w:tbl>
    <w:p w14:paraId="096FB57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七条设计原则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（全部由本项目实验独立得出，写进了代码注释与文档，是这套系统与「拿个 AI 模型套数据」的根本区别）：</w:t>
      </w:r>
    </w:p>
    <w:tbl>
      <w:tblPr>
        <w:tblStyle w:val="3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2831"/>
        <w:gridCol w:w="2831"/>
      </w:tblGrid>
      <w:tr w14:paraId="1DDCE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F0F6FB"/>
          </w:tcPr>
          <w:p w14:paraId="582783A2">
            <w:pPr>
              <w:spacing w:after="0" w:line="240" w:lineRule="auto"/>
            </w:pPr>
            <w:r>
              <w:rPr>
                <w:rFonts w:ascii="Arial" w:hAnsi="Arial" w:eastAsia="黑体"/>
                <w:b/>
                <w:sz w:val="21"/>
              </w:rPr>
              <w:t>#</w:t>
            </w:r>
          </w:p>
        </w:tc>
        <w:tc>
          <w:tcPr>
            <w:tcW w:w="1666" w:type="pct"/>
            <w:shd w:val="clear" w:color="auto" w:fill="F0F6FB"/>
          </w:tcPr>
          <w:p w14:paraId="0A43BA7F">
            <w:pPr>
              <w:spacing w:after="0" w:line="240" w:lineRule="auto"/>
            </w:pPr>
            <w:r>
              <w:rPr>
                <w:rFonts w:ascii="Arial" w:hAnsi="Arial" w:eastAsia="黑体"/>
                <w:b/>
                <w:sz w:val="21"/>
              </w:rPr>
              <w:t>原则</w:t>
            </w:r>
          </w:p>
        </w:tc>
        <w:tc>
          <w:tcPr>
            <w:tcW w:w="1666" w:type="pct"/>
            <w:shd w:val="clear" w:color="auto" w:fill="F0F6FB"/>
          </w:tcPr>
          <w:p w14:paraId="7F9D7037">
            <w:pPr>
              <w:spacing w:after="0" w:line="240" w:lineRule="auto"/>
            </w:pPr>
            <w:r>
              <w:rPr>
                <w:rFonts w:ascii="Arial" w:hAnsi="Arial" w:eastAsia="黑体"/>
                <w:b/>
                <w:sz w:val="21"/>
              </w:rPr>
              <w:t>依据（本项目的实测）</w:t>
            </w:r>
          </w:p>
        </w:tc>
      </w:tr>
      <w:tr w14:paraId="2EDFB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359ACF3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①</w:t>
            </w:r>
          </w:p>
        </w:tc>
        <w:tc>
          <w:tcPr>
            <w:tcW w:w="1666" w:type="pct"/>
          </w:tcPr>
          <w:p w14:paraId="74CEDF2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双基线并行：短窗自适应管突变，冻结基线管慢漂移</w:t>
            </w:r>
          </w:p>
        </w:tc>
        <w:tc>
          <w:tcPr>
            <w:tcW w:w="1666" w:type="pct"/>
          </w:tcPr>
          <w:p w14:paraId="1A6405A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慢漂移场景下自适应通道</w:t>
            </w:r>
            <w:r>
              <w:rPr>
                <w:rFonts w:ascii="Times New Roman" w:hAnsi="Times New Roman" w:eastAsia="宋体"/>
                <w:b/>
                <w:sz w:val="21"/>
              </w:rPr>
              <w:t>完全漏检</w:t>
            </w:r>
            <w:r>
              <w:rPr>
                <w:rFonts w:ascii="Times New Roman" w:hAnsi="Times New Roman" w:eastAsia="宋体"/>
                <w:b w:val="0"/>
                <w:sz w:val="21"/>
              </w:rPr>
              <w:t>（两条独立物理链路都复现）</w:t>
            </w:r>
          </w:p>
        </w:tc>
      </w:tr>
      <w:tr w14:paraId="56700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12B757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②</w:t>
            </w:r>
          </w:p>
        </w:tc>
        <w:tc>
          <w:tcPr>
            <w:tcW w:w="1666" w:type="pct"/>
          </w:tcPr>
          <w:p w14:paraId="0831180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RUL 与严重度必须挂</w:t>
            </w:r>
            <w:r>
              <w:rPr>
                <w:rFonts w:ascii="Times New Roman" w:hAnsi="Times New Roman" w:eastAsia="宋体"/>
                <w:b/>
                <w:sz w:val="21"/>
              </w:rPr>
              <w:t>机理指标</w:t>
            </w:r>
          </w:p>
        </w:tc>
        <w:tc>
          <w:tcPr>
            <w:tcW w:w="1666" w:type="pct"/>
          </w:tcPr>
          <w:p w14:paraId="0C468D5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通用健康指数外推在长窗上误差 20.55 天，机理法 4.04 天</w:t>
            </w:r>
          </w:p>
        </w:tc>
      </w:tr>
      <w:tr w14:paraId="5F77A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34F8E84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③</w:t>
            </w:r>
          </w:p>
        </w:tc>
        <w:tc>
          <w:tcPr>
            <w:tcW w:w="1666" w:type="pct"/>
          </w:tcPr>
          <w:p w14:paraId="5A32FC7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冻结参考域必须取自「验收合格且已进入稳态」的历史段</w:t>
            </w:r>
          </w:p>
        </w:tc>
        <w:tc>
          <w:tcPr>
            <w:tcW w:w="1666" w:type="pct"/>
          </w:tcPr>
          <w:p w14:paraId="032344E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用投运暂态做参考：健康误报 26 / 18 / 26 次；稳态段 0 次</w:t>
            </w:r>
          </w:p>
        </w:tc>
      </w:tr>
      <w:tr w14:paraId="4F395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291A303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④</w:t>
            </w:r>
          </w:p>
        </w:tc>
        <w:tc>
          <w:tcPr>
            <w:tcW w:w="1666" w:type="pct"/>
          </w:tcPr>
          <w:p w14:paraId="0B2830B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慢漂移的严重度用</w:t>
            </w:r>
            <w:r>
              <w:rPr>
                <w:rFonts w:ascii="Times New Roman" w:hAnsi="Times New Roman" w:eastAsia="宋体"/>
                <w:b/>
                <w:sz w:val="21"/>
              </w:rPr>
              <w:t>分布位置统计量</w:t>
            </w:r>
            <w:r>
              <w:rPr>
                <w:rFonts w:ascii="Times New Roman" w:hAnsi="Times New Roman" w:eastAsia="宋体"/>
                <w:b w:val="0"/>
                <w:sz w:val="21"/>
              </w:rPr>
              <w:t>（滚动中位/分位偏移）</w:t>
            </w:r>
          </w:p>
        </w:tc>
        <w:tc>
          <w:tcPr>
            <w:tcW w:w="1666" w:type="pct"/>
          </w:tcPr>
          <w:p w14:paraId="11F9DBB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单点越限时刻不含严重度信息（首报时刻与退化幅值无关，图 2-7）</w:t>
            </w:r>
          </w:p>
        </w:tc>
      </w:tr>
      <w:tr w14:paraId="4D912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28796FD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⑤</w:t>
            </w:r>
          </w:p>
        </w:tc>
        <w:tc>
          <w:tcPr>
            <w:tcW w:w="1666" w:type="pct"/>
          </w:tcPr>
          <w:p w14:paraId="4E5C237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阈值按</w:t>
            </w:r>
            <w:r>
              <w:rPr>
                <w:rFonts w:ascii="Times New Roman" w:hAnsi="Times New Roman" w:eastAsia="宋体"/>
                <w:b/>
                <w:sz w:val="21"/>
              </w:rPr>
              <w:t>工况自身健康基线</w:t>
            </w:r>
            <w:r>
              <w:rPr>
                <w:rFonts w:ascii="Times New Roman" w:hAnsi="Times New Roman" w:eastAsia="宋体"/>
                <w:b w:val="0"/>
                <w:sz w:val="21"/>
              </w:rPr>
              <w:t>标定</w:t>
            </w:r>
          </w:p>
        </w:tc>
        <w:tc>
          <w:tcPr>
            <w:tcW w:w="1666" w:type="pct"/>
          </w:tcPr>
          <w:p w14:paraId="08244AD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换一段进水，绝对阈值立刻失效；进一步需工况分箱与同期对拍</w:t>
            </w:r>
          </w:p>
        </w:tc>
      </w:tr>
      <w:tr w14:paraId="1414B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0FAB18A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⑥</w:t>
            </w:r>
          </w:p>
        </w:tc>
        <w:tc>
          <w:tcPr>
            <w:tcW w:w="1666" w:type="pct"/>
          </w:tcPr>
          <w:p w14:paraId="0B4FC25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RUL 拟合窗必须匹配</w:t>
            </w:r>
            <w:r>
              <w:rPr>
                <w:rFonts w:ascii="Times New Roman" w:hAnsi="Times New Roman" w:eastAsia="宋体"/>
                <w:b/>
                <w:sz w:val="21"/>
              </w:rPr>
              <w:t>退化时标</w:t>
            </w:r>
            <w:r>
              <w:rPr>
                <w:rFonts w:ascii="Times New Roman" w:hAnsi="Times New Roman" w:eastAsia="宋体"/>
                <w:b w:val="0"/>
                <w:sz w:val="21"/>
              </w:rPr>
              <w:t>并带「趋势仍在下降」门控</w:t>
            </w:r>
          </w:p>
        </w:tc>
        <w:tc>
          <w:tcPr>
            <w:tcW w:w="1666" w:type="pct"/>
          </w:tcPr>
          <w:p w14:paraId="53BB2CA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同一告警点 5/2/1 天窗 = 269.25 / 63.30 / 46.67 天（真值 47.67）</w:t>
            </w:r>
          </w:p>
        </w:tc>
      </w:tr>
      <w:tr w14:paraId="5418C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033DDC1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⑦</w:t>
            </w:r>
          </w:p>
        </w:tc>
        <w:tc>
          <w:tcPr>
            <w:tcW w:w="1666" w:type="pct"/>
          </w:tcPr>
          <w:p w14:paraId="16D1565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设备级退化用</w:t>
            </w:r>
            <w:r>
              <w:rPr>
                <w:rFonts w:ascii="Times New Roman" w:hAnsi="Times New Roman" w:eastAsia="宋体"/>
                <w:b/>
                <w:sz w:val="21"/>
              </w:rPr>
              <w:t>设备自身物料平衡比值</w:t>
            </w:r>
            <w:r>
              <w:rPr>
                <w:rFonts w:ascii="Times New Roman" w:hAnsi="Times New Roman" w:eastAsia="宋体"/>
                <w:b w:val="0"/>
                <w:sz w:val="21"/>
              </w:rPr>
              <w:t>监测</w:t>
            </w:r>
          </w:p>
        </w:tc>
        <w:tc>
          <w:tcPr>
            <w:tcW w:w="1666" w:type="pct"/>
          </w:tcPr>
          <w:p w14:paraId="52A2EA5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整厂原始量 86.11 天仍检不出；比值通道 9.80 天检出</w:t>
            </w:r>
          </w:p>
        </w:tc>
      </w:tr>
    </w:tbl>
    <w:p w14:paraId="17D6904E">
      <w:pPr>
        <w:pStyle w:val="4"/>
        <w:numPr>
          <w:ilvl w:val="0"/>
          <w:numId w:val="8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</w:rPr>
      </w:pPr>
      <w:bookmarkStart w:id="3" w:name="_Toc6181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可行性分析</w:t>
      </w:r>
      <w:bookmarkEnd w:id="3"/>
    </w:p>
    <w:p w14:paraId="2BD3A93C">
      <w:pPr>
        <w:jc w:val="center"/>
      </w:pPr>
      <w:r>
        <w:drawing>
          <wp:inline distT="0" distB="0" distL="114300" distR="114300">
            <wp:extent cx="5255895" cy="1815465"/>
            <wp:effectExtent l="0" t="0" r="190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81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F17C4">
      <w:pPr>
        <w:pStyle w:val="168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2-1　三种部署形态与数据流向（默认离线、数据不出厂）</w:t>
      </w:r>
    </w:p>
    <w:p w14:paraId="34083D7D">
      <w:pPr>
        <w:pStyle w:val="5"/>
        <w:numPr>
          <w:ilvl w:val="0"/>
          <w:numId w:val="9"/>
        </w:numPr>
        <w:ind w:left="0" w:leftChars="0" w:firstLine="0" w:firstLineChars="0"/>
        <w:rPr>
          <w:rFonts w:eastAsia="黑体"/>
          <w:b w:val="0"/>
          <w:bCs w:val="0"/>
          <w:sz w:val="30"/>
          <w:szCs w:val="24"/>
        </w:rPr>
      </w:pPr>
      <w:bookmarkStart w:id="4" w:name="_Toc26802"/>
      <w:r>
        <w:rPr>
          <w:rFonts w:ascii="Times New Roman" w:hAnsi="Times New Roman" w:eastAsia="黑体" w:cs="Times New Roman"/>
          <w:b w:val="0"/>
          <w:bCs w:val="0"/>
          <w:sz w:val="30"/>
          <w:szCs w:val="24"/>
        </w:rPr>
        <w:t>技术原理科学性</w:t>
      </w:r>
      <w:bookmarkEnd w:id="4"/>
    </w:p>
    <w:p w14:paraId="23055BB4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检测（图 1-3）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：对每个测点做</w:t>
      </w:r>
      <w:r>
        <w:rPr>
          <w:rFonts w:ascii="Times New Roman" w:hAnsi="Times New Roman" w:eastAsia="宋体" w:cs="Times New Roman"/>
          <w:b/>
          <w:sz w:val="24"/>
          <w:szCs w:val="24"/>
        </w:rPr>
        <w:t>稳健标准化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（中位 + 鲁棒尺度：IQR/1.349 与标准差取大者，并设尺度下限），取</w:t>
      </w:r>
      <w:r>
        <w:rPr>
          <w:rFonts w:ascii="Times New Roman" w:hAnsi="Times New Roman" w:eastAsia="宋体" w:cs="Times New Roman"/>
          <w:b/>
          <w:sz w:val="24"/>
          <w:szCs w:val="24"/>
        </w:rPr>
        <w:t>前 k 个最大偏离的聚合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作为异常分数，再用</w:t>
      </w:r>
      <w:r>
        <w:rPr>
          <w:rFonts w:ascii="Times New Roman" w:hAnsi="Times New Roman" w:eastAsia="宋体" w:cs="Times New Roman"/>
          <w:b/>
          <w:sz w:val="24"/>
          <w:szCs w:val="24"/>
        </w:rPr>
        <w:t>事件机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（连续 4 点进入、连续 8 点低于 0.8×阈退出、冷却 8 点）把分数变成「事件」，最后按「报警 ∧ 分布位置比值」分级为 P1/P2/P3。</w:t>
      </w:r>
    </w:p>
    <w:p w14:paraId="11271F7B">
      <w:pPr>
        <w:pStyle w:val="19"/>
        <w:widowControl/>
        <w:numPr>
          <w:ilvl w:val="0"/>
          <w:numId w:val="3"/>
        </w:numPr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为什么必须双基线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：慢漂移会被短窗自适应基线当成「新常态」而漏检（本项目在 BSM1 与污泥线两条独立物理链路上都实测到自适应通道 </w:t>
      </w:r>
      <w:r>
        <w:rPr>
          <w:rFonts w:ascii="Times New Roman" w:hAnsi="Times New Roman" w:eastAsia="宋体" w:cs="Times New Roman"/>
          <w:b/>
          <w:sz w:val="24"/>
          <w:szCs w:val="24"/>
        </w:rPr>
        <w:t>0 告警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）；反过来，固定基线在工况变化时会误报。两者互补，缺一条就会出问题。</w:t>
      </w:r>
    </w:p>
    <w:p w14:paraId="5D72FC4E">
      <w:pPr>
        <w:pStyle w:val="19"/>
        <w:widowControl/>
        <w:numPr>
          <w:ilvl w:val="0"/>
          <w:numId w:val="3"/>
        </w:numPr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为什么必须工况条件化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：把进水流量按分位分箱、箱内各自标定后，健康轨迹最高分从 </w:t>
      </w:r>
      <w:r>
        <w:rPr>
          <w:rFonts w:ascii="Times New Roman" w:hAnsi="Times New Roman" w:eastAsia="宋体" w:cs="Times New Roman"/>
          <w:b/>
          <w:sz w:val="24"/>
          <w:szCs w:val="24"/>
        </w:rPr>
        <w:t>19.18 降到 14.86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，说明一部分「工况事件」能被解释掉；但要彻底消除，需要</w:t>
      </w:r>
      <w:r>
        <w:rPr>
          <w:rFonts w:ascii="Times New Roman" w:hAnsi="Times New Roman" w:eastAsia="宋体" w:cs="Times New Roman"/>
          <w:b/>
          <w:sz w:val="24"/>
          <w:szCs w:val="24"/>
        </w:rPr>
        <w:t>同期同工况对拍差分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（图 3-10）。</w:t>
      </w:r>
    </w:p>
    <w:p w14:paraId="71E8025F">
      <w:pPr>
        <w:pStyle w:val="19"/>
        <w:widowControl/>
        <w:numPr>
          <w:ilvl w:val="0"/>
          <w:numId w:val="3"/>
        </w:numPr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为什么原始量不够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（本项目的重要负结果）：在官方 BSM2 整厂上注入脱水机退化，用 5 个原始可测量做监测，零误报口径要 </w:t>
      </w:r>
      <w:r>
        <w:rPr>
          <w:rFonts w:ascii="Times New Roman" w:hAnsi="Times New Roman" w:eastAsia="宋体" w:cs="Times New Roman"/>
          <w:b/>
          <w:sz w:val="24"/>
          <w:szCs w:val="24"/>
        </w:rPr>
        <w:t>86.11 天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才报警 —— </w:t>
      </w:r>
      <w:r>
        <w:rPr>
          <w:rFonts w:ascii="Times New Roman" w:hAnsi="Times New Roman" w:eastAsia="宋体" w:cs="Times New Roman"/>
          <w:b/>
          <w:sz w:val="24"/>
          <w:szCs w:val="24"/>
        </w:rPr>
        <w:t>已晚于失效 37 天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。原因是进水工况事件（+23.9%）先一步把阈值顶上去（图 3-8）。</w:t>
      </w:r>
    </w:p>
    <w:p w14:paraId="7FAB1C0C">
      <w:pPr>
        <w:pStyle w:val="19"/>
        <w:widowControl/>
        <w:numPr>
          <w:ilvl w:val="0"/>
          <w:numId w:val="3"/>
        </w:numPr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RUL 的科学性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：不把「健康指数」硬外推，而是对被监测设备的</w:t>
      </w:r>
      <w:r>
        <w:rPr>
          <w:rFonts w:ascii="Times New Roman" w:hAnsi="Times New Roman" w:eastAsia="宋体" w:cs="Times New Roman"/>
          <w:b/>
          <w:sz w:val="24"/>
          <w:szCs w:val="24"/>
        </w:rPr>
        <w:t>机理量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（泥饼含固率、反应池溶解氧等）做</w:t>
      </w:r>
      <w:r>
        <w:rPr>
          <w:rFonts w:ascii="Times New Roman" w:hAnsi="Times New Roman" w:eastAsia="宋体" w:cs="Times New Roman"/>
          <w:b/>
          <w:sz w:val="24"/>
          <w:szCs w:val="24"/>
        </w:rPr>
        <w:t>带门控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的线性外推；机理量未出现下降趋势时</w:t>
      </w:r>
      <w:r>
        <w:rPr>
          <w:rFonts w:ascii="Times New Roman" w:hAnsi="Times New Roman" w:eastAsia="宋体" w:cs="Times New Roman"/>
          <w:b/>
          <w:sz w:val="24"/>
          <w:szCs w:val="24"/>
        </w:rPr>
        <w:t>不给日期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。</w:t>
      </w:r>
    </w:p>
    <w:p w14:paraId="67F1A7E1">
      <w:pPr>
        <w:pStyle w:val="19"/>
        <w:widowControl/>
        <w:numPr>
          <w:ilvl w:val="0"/>
          <w:numId w:val="3"/>
        </w:numPr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决策的科学性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：把维护问题写成可计算的三项成本（非计划失效 / 计划更换 / 剩余寿命浪费），按退化不确定性与维护窗口做蒙特卡洛，而不是给一个「感觉更省钱」的说法。</w:t>
      </w:r>
    </w:p>
    <w:p w14:paraId="0341A050">
      <w:pPr>
        <w:pStyle w:val="5"/>
        <w:numPr>
          <w:ilvl w:val="0"/>
          <w:numId w:val="9"/>
        </w:numPr>
        <w:ind w:left="0" w:leftChars="0" w:firstLine="0" w:firstLineChars="0"/>
        <w:rPr>
          <w:rFonts w:eastAsia="黑体"/>
          <w:b w:val="0"/>
          <w:bCs w:val="0"/>
          <w:sz w:val="30"/>
          <w:szCs w:val="24"/>
        </w:rPr>
      </w:pPr>
      <w:bookmarkStart w:id="5" w:name="_Toc29474"/>
      <w:r>
        <w:rPr>
          <w:rFonts w:ascii="Times New Roman" w:hAnsi="Times New Roman" w:eastAsia="黑体" w:cs="Times New Roman"/>
          <w:b w:val="0"/>
          <w:bCs w:val="0"/>
          <w:sz w:val="30"/>
          <w:szCs w:val="24"/>
        </w:rPr>
        <w:t>实施可行性：从数据到系统的落地路径</w:t>
      </w:r>
      <w:bookmarkEnd w:id="5"/>
    </w:p>
    <w:p w14:paraId="510B256F">
      <w:pPr>
        <w:pStyle w:val="19"/>
        <w:widowControl/>
        <w:numPr>
          <w:ilvl w:val="0"/>
          <w:numId w:val="10"/>
        </w:numPr>
        <w:ind w:left="0" w:leftChars="0" w:firstLine="480" w:firstLineChars="0"/>
        <w:rPr>
          <w:rFonts w:eastAsia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数据门槛低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：只需厂里已有的运行数据导出 CSV（1 分钟或 15 分钟采样均可），无需加装传感器、无需改造 DCS；</w:t>
      </w:r>
    </w:p>
    <w:p w14:paraId="398C1A8E">
      <w:pPr>
        <w:pStyle w:val="19"/>
        <w:widowControl/>
        <w:numPr>
          <w:ilvl w:val="0"/>
          <w:numId w:val="10"/>
        </w:numPr>
        <w:ind w:left="0" w:leftChars="0" w:firstLine="480" w:firstLineChars="0"/>
        <w:rPr>
          <w:rFonts w:eastAsia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部署门槛低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：纯 Python + numpy/pandas，</w:t>
      </w:r>
      <w:r>
        <w:rPr>
          <w:rFonts w:ascii="Times New Roman" w:hAnsi="Times New Roman" w:eastAsia="宋体" w:cs="Times New Roman"/>
          <w:b/>
          <w:sz w:val="24"/>
          <w:szCs w:val="24"/>
        </w:rPr>
        <w:t>零外部依赖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（无深度学习框架、无数据库、无云服务），可在一台离线工控机或办公电脑上运行；默认只在本机监听，</w:t>
      </w:r>
      <w:r>
        <w:rPr>
          <w:rFonts w:ascii="Times New Roman" w:hAnsi="Times New Roman" w:eastAsia="宋体" w:cs="Times New Roman"/>
          <w:b/>
          <w:sz w:val="24"/>
          <w:szCs w:val="24"/>
        </w:rPr>
        <w:t>数据不出厂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（图 2-1）；</w:t>
      </w:r>
    </w:p>
    <w:p w14:paraId="767936F0">
      <w:pPr>
        <w:pStyle w:val="19"/>
        <w:widowControl/>
        <w:numPr>
          <w:ilvl w:val="0"/>
          <w:numId w:val="10"/>
        </w:numPr>
        <w:ind w:left="0" w:leftChars="0" w:firstLine="480" w:firstLineChars="0"/>
        <w:rPr>
          <w:rFonts w:eastAsia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接入有工具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：把最难的三步固定成命令 —— </w:t>
      </w:r>
      <w:r>
        <w:rPr>
          <w:rFonts w:ascii="Times New Roman" w:hAnsi="Times New Roman" w:eastAsia="宋体" w:cs="Times New Roman"/>
          <w:b/>
          <w:sz w:val="24"/>
          <w:szCs w:val="24"/>
        </w:rPr>
        <w:t>体检 inspect → 标定 calibrate → 分级告警 watch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，并额外提供</w:t>
      </w:r>
      <w:r>
        <w:rPr>
          <w:rFonts w:ascii="Times New Roman" w:hAnsi="Times New Roman" w:eastAsia="宋体" w:cs="Times New Roman"/>
          <w:b/>
          <w:sz w:val="24"/>
          <w:szCs w:val="24"/>
        </w:rPr>
        <w:t>企业版报告 report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 与</w:t>
      </w:r>
      <w:r>
        <w:rPr>
          <w:rFonts w:ascii="Times New Roman" w:hAnsi="Times New Roman" w:eastAsia="宋体" w:cs="Times New Roman"/>
          <w:b/>
          <w:sz w:val="24"/>
          <w:szCs w:val="24"/>
        </w:rPr>
        <w:t>本地网页工作台 serve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（图 3-13、图 3-14）；</w:t>
      </w:r>
    </w:p>
    <w:p w14:paraId="29B211E1">
      <w:pPr>
        <w:pStyle w:val="19"/>
        <w:widowControl/>
        <w:numPr>
          <w:ilvl w:val="0"/>
          <w:numId w:val="10"/>
        </w:numPr>
        <w:ind w:left="0" w:leftChars="0" w:firstLine="480" w:firstLineChars="0"/>
        <w:rPr>
          <w:rFonts w:eastAsia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已经在跑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：工具已在 3 个数据集上实测（真实水泵台架 SKAB、真实地铁空压机 MetroPT-3、IWA 标准模型 BSM1），并在两套机理模型中完成闭环；</w:t>
      </w:r>
    </w:p>
    <w:p w14:paraId="0822D5CE">
      <w:pPr>
        <w:pStyle w:val="19"/>
        <w:widowControl/>
        <w:numPr>
          <w:ilvl w:val="0"/>
          <w:numId w:val="10"/>
        </w:numPr>
        <w:ind w:left="0" w:leftChars="0" w:firstLine="480" w:firstLineChars="0"/>
        <w:rPr>
          <w:rFonts w:eastAsia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可复现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：一键复现（快速 9 阶段约 20 秒 / 全量 39 阶段），所有结论都对应可追溯的结果文件；</w:t>
      </w:r>
    </w:p>
    <w:p w14:paraId="0A82460C">
      <w:pPr>
        <w:pStyle w:val="19"/>
        <w:widowControl/>
        <w:numPr>
          <w:ilvl w:val="0"/>
          <w:numId w:val="10"/>
        </w:numPr>
        <w:ind w:left="0" w:leftChars="0" w:firstLine="480" w:firstLineChars="0"/>
        <w:rPr>
          <w:rFonts w:eastAsia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可交付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：企业版报告自带「数据体检 / 标定摘要 / P1·P2·P3 告警明细 / 四张图 / 口径与局限 / 复现命令」，现场可以「拿一份数据、当场出一份报告」。</w:t>
      </w:r>
    </w:p>
    <w:p w14:paraId="527E4ED3">
      <w:pPr>
        <w:pStyle w:val="4"/>
        <w:numPr>
          <w:ilvl w:val="0"/>
          <w:numId w:val="8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</w:rPr>
      </w:pPr>
      <w:bookmarkStart w:id="6" w:name="_Toc889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本项目的特色与创新之处</w:t>
      </w:r>
      <w:bookmarkEnd w:id="6"/>
    </w:p>
    <w:p w14:paraId="46B5924D">
      <w:pPr>
        <w:jc w:val="center"/>
      </w:pPr>
      <w:r>
        <w:drawing>
          <wp:inline distT="0" distB="0" distL="114300" distR="114300">
            <wp:extent cx="5255895" cy="3638550"/>
            <wp:effectExtent l="0" t="0" r="190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63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81AA9">
      <w:pPr>
        <w:pStyle w:val="168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2-2　真实数据四图：误报-召回 / 策略成本 / 敏感性 / RUL 散点</w:t>
      </w:r>
    </w:p>
    <w:p w14:paraId="5FDBF574">
      <w:pPr>
        <w:jc w:val="center"/>
      </w:pPr>
      <w:r>
        <w:drawing>
          <wp:inline distT="0" distB="0" distL="114300" distR="114300">
            <wp:extent cx="5255895" cy="2021205"/>
            <wp:effectExtent l="0" t="0" r="1905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02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5BD4">
      <w:pPr>
        <w:pStyle w:val="168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2-3　SKAB 检测误差权衡（DET）曲线：三种方法</w:t>
      </w:r>
    </w:p>
    <w:p w14:paraId="4D651803">
      <w:pPr>
        <w:jc w:val="center"/>
      </w:pPr>
      <w:r>
        <w:drawing>
          <wp:inline distT="0" distB="0" distL="114300" distR="114300">
            <wp:extent cx="5255895" cy="1751965"/>
            <wp:effectExtent l="0" t="0" r="190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7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4B8D0">
      <w:pPr>
        <w:pStyle w:val="168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2-4　消融两套阈值口径：共用硬编码阈值 vs 各自无标签标定</w:t>
      </w:r>
    </w:p>
    <w:p w14:paraId="4B37F062">
      <w:pPr>
        <w:jc w:val="center"/>
      </w:pPr>
      <w:r>
        <w:drawing>
          <wp:inline distT="0" distB="0" distL="114300" distR="114300">
            <wp:extent cx="5255895" cy="1681480"/>
            <wp:effectExtent l="0" t="0" r="190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68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ABCA7">
      <w:pPr>
        <w:pStyle w:val="168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2-5　标定期敏感性：同一模型换健康段，阈值差 2–4 倍</w:t>
      </w:r>
    </w:p>
    <w:p w14:paraId="1F48DC74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创新点 1：双基线 + 工况条件化 + 对拍差分的「三层防误报」检测框架。</w:t>
      </w:r>
    </w:p>
    <w:p w14:paraId="66FD09AE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同一份真实数据上，与对照实现在同等召回下误报事件</w:t>
      </w:r>
      <w:r>
        <w:rPr>
          <w:rFonts w:ascii="Times New Roman" w:hAnsi="Times New Roman" w:eastAsia="宋体" w:cs="Times New Roman"/>
          <w:b/>
          <w:sz w:val="24"/>
          <w:szCs w:val="24"/>
        </w:rPr>
        <w:t>少 2.8 倍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；在整厂尺度上进一步证明单靠原始量</w:t>
      </w:r>
      <w:r>
        <w:rPr>
          <w:rFonts w:ascii="Times New Roman" w:hAnsi="Times New Roman" w:eastAsia="宋体" w:cs="Times New Roman"/>
          <w:b/>
          <w:sz w:val="24"/>
          <w:szCs w:val="24"/>
        </w:rPr>
        <w:t>根本不够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，必须叠加</w:t>
      </w:r>
      <w:r>
        <w:rPr>
          <w:rFonts w:ascii="Times New Roman" w:hAnsi="Times New Roman" w:eastAsia="宋体" w:cs="Times New Roman"/>
          <w:b/>
          <w:sz w:val="24"/>
          <w:szCs w:val="24"/>
        </w:rPr>
        <w:t>工况条件化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与</w:t>
      </w:r>
      <w:r>
        <w:rPr>
          <w:rFonts w:ascii="Times New Roman" w:hAnsi="Times New Roman" w:eastAsia="宋体" w:cs="Times New Roman"/>
          <w:b/>
          <w:sz w:val="24"/>
          <w:szCs w:val="24"/>
        </w:rPr>
        <w:t>同期同工况对拍差分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（图 2-2、图 2-3、图 2-4、图 3-10）。这不是调参，而是机制层面的设计。</w:t>
      </w:r>
    </w:p>
    <w:p w14:paraId="47440CA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创新点 2：把「设备级物料平衡比值」作为退化监测量，并给出反例证据。</w:t>
      </w:r>
    </w:p>
    <w:p w14:paraId="4D957574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在官方 BSM2 整厂（含 ADM1 消化罐、二沉池 120 态）注入脱水机退化：真值失效 </w:t>
      </w:r>
      <w:r>
        <w:rPr>
          <w:rFonts w:ascii="Times New Roman" w:hAnsi="Times New Roman" w:eastAsia="宋体" w:cs="Times New Roman"/>
          <w:b/>
          <w:sz w:val="24"/>
          <w:szCs w:val="24"/>
        </w:rPr>
        <w:t>109.00 天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。5 个原始量在零误报口径下要 </w:t>
      </w:r>
      <w:r>
        <w:rPr>
          <w:rFonts w:ascii="Times New Roman" w:hAnsi="Times New Roman" w:eastAsia="宋体" w:cs="Times New Roman"/>
          <w:b/>
          <w:sz w:val="24"/>
          <w:szCs w:val="24"/>
        </w:rPr>
        <w:t>86.11 天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（已晚于失效）；换成「</w:t>
      </w:r>
      <w:r>
        <w:rPr>
          <w:rFonts w:ascii="Times New Roman" w:hAnsi="Times New Roman" w:eastAsia="宋体" w:cs="Times New Roman"/>
          <w:b/>
          <w:sz w:val="24"/>
          <w:szCs w:val="24"/>
        </w:rPr>
        <w:t>干固体产率 ÷ 湿泥饼量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」= 泥饼含固率代理，在 2% 仪表 + 3% 日粒度实验室噪声下 </w:t>
      </w:r>
      <w:r>
        <w:rPr>
          <w:rFonts w:ascii="Times New Roman" w:hAnsi="Times New Roman" w:eastAsia="宋体" w:cs="Times New Roman"/>
          <w:b/>
          <w:sz w:val="24"/>
          <w:szCs w:val="24"/>
        </w:rPr>
        <w:t>9.80 天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检出（区间 5.03–11.03）、提前 </w:t>
      </w:r>
      <w:r>
        <w:rPr>
          <w:rFonts w:ascii="Times New Roman" w:hAnsi="Times New Roman" w:eastAsia="宋体" w:cs="Times New Roman"/>
          <w:b/>
          <w:sz w:val="24"/>
          <w:szCs w:val="24"/>
        </w:rPr>
        <w:t>37.47 天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；湿泥饼量增幅 </w:t>
      </w:r>
      <w:r>
        <w:rPr>
          <w:rFonts w:ascii="Times New Roman" w:hAnsi="Times New Roman" w:eastAsia="宋体" w:cs="Times New Roman"/>
          <w:b/>
          <w:sz w:val="24"/>
          <w:szCs w:val="24"/>
        </w:rPr>
        <w:t>+55.53%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（理论 28/18−1 = +55.56%）。同时该退化在全厂沼气、能耗、出水水质上几乎无痕（±0.03%）—— 说明</w:t>
      </w:r>
      <w:r>
        <w:rPr>
          <w:rFonts w:ascii="Times New Roman" w:hAnsi="Times New Roman" w:eastAsia="宋体" w:cs="Times New Roman"/>
          <w:b/>
          <w:sz w:val="24"/>
          <w:szCs w:val="24"/>
        </w:rPr>
        <w:t>这类故障只能靠设备级量发现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（图 3-8、图 3-9）。</w:t>
      </w:r>
    </w:p>
    <w:p w14:paraId="0DA9A1D7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创新点 3：机理锚定的剩余寿命，并量化了「拟合窗」的坑。</w:t>
      </w:r>
    </w:p>
    <w:p w14:paraId="27446DA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同一告警点，5/2/1 天窗给 269.25 / 63.30 / </w:t>
      </w:r>
      <w:r>
        <w:rPr>
          <w:rFonts w:ascii="Times New Roman" w:hAnsi="Times New Roman" w:eastAsia="宋体" w:cs="Times New Roman"/>
          <w:b/>
          <w:sz w:val="24"/>
          <w:szCs w:val="24"/>
        </w:rPr>
        <w:t>46.67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 天（真值 47.67 天）—— 1 天窗误差 1.00 天，5 天窗误差 221.58 天；含噪后规律反转（1 天 26.47 天 → 10 天 13.85 天）。我们把这条写成规则：</w:t>
      </w:r>
      <w:r>
        <w:rPr>
          <w:rFonts w:ascii="Times New Roman" w:hAnsi="Times New Roman" w:eastAsia="宋体" w:cs="Times New Roman"/>
          <w:b/>
          <w:sz w:val="24"/>
          <w:szCs w:val="24"/>
        </w:rPr>
        <w:t>窗长要同时匹配退化时标与噪声水平，且必须带趋势门控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（图 3-5）。</w:t>
      </w:r>
    </w:p>
    <w:p w14:paraId="03C3005F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创新点 4：把「诚实性」做成工程能力（可核查，而非口号）。</w:t>
      </w:r>
    </w:p>
    <w:p w14:paraId="1467576C">
      <w:pPr>
        <w:pStyle w:val="19"/>
        <w:widowControl/>
        <w:numPr>
          <w:ilvl w:val="0"/>
          <w:numId w:val="3"/>
        </w:numPr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跨实现复核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：四轮由第二套独立实现（不同作者、不共享代码）复核我们的结论，被指出的问题全部回写 —— 包括我们自己的两个口径 bug（滚动窗误用点数、平滑误用采样点数）；</w:t>
      </w:r>
    </w:p>
    <w:p w14:paraId="31AFCE2B">
      <w:pPr>
        <w:pStyle w:val="19"/>
        <w:widowControl/>
        <w:numPr>
          <w:ilvl w:val="0"/>
          <w:numId w:val="3"/>
        </w:numPr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冻结前数字总检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：脚本把每个对外数字回溯到结果文件并在文档中检索一致性，</w:t>
      </w:r>
      <w:r>
        <w:rPr>
          <w:rFonts w:ascii="Times New Roman" w:hAnsi="Times New Roman" w:eastAsia="宋体" w:cs="Times New Roman"/>
          <w:b/>
          <w:sz w:val="24"/>
          <w:szCs w:val="24"/>
        </w:rPr>
        <w:t>30/30 通过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；</w:t>
      </w:r>
    </w:p>
    <w:p w14:paraId="1063745F">
      <w:pPr>
        <w:pStyle w:val="19"/>
        <w:widowControl/>
        <w:numPr>
          <w:ilvl w:val="0"/>
          <w:numId w:val="3"/>
        </w:numPr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口径与限定词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：每份材料都写明「本模型 / 本轨迹 / 本噪声结构 / 本阈值口径」，并列出不可外推项（附录 C）。</w:t>
      </w:r>
    </w:p>
    <w:p w14:paraId="51A15884">
      <w:pPr>
        <w:pStyle w:val="4"/>
        <w:numPr>
          <w:ilvl w:val="0"/>
          <w:numId w:val="8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</w:rPr>
      </w:pPr>
      <w:bookmarkStart w:id="7" w:name="_Toc6063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预测内容与预期成效</w:t>
      </w:r>
      <w:bookmarkEnd w:id="7"/>
    </w:p>
    <w:p w14:paraId="022E7306">
      <w:pPr>
        <w:jc w:val="center"/>
      </w:pPr>
      <w:r>
        <w:drawing>
          <wp:inline distT="0" distB="0" distL="114300" distR="114300">
            <wp:extent cx="5255895" cy="3638550"/>
            <wp:effectExtent l="0" t="0" r="1905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63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23CB5">
      <w:pPr>
        <w:pStyle w:val="168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2-6　BSM1 数字孪生闭环四图：注入 → 检测 → RUL → 决策</w:t>
      </w:r>
    </w:p>
    <w:p w14:paraId="045F951A">
      <w:pPr>
        <w:jc w:val="center"/>
      </w:pPr>
      <w:r>
        <w:drawing>
          <wp:inline distT="0" distB="0" distL="114300" distR="114300">
            <wp:extent cx="5255895" cy="1510665"/>
            <wp:effectExtent l="0" t="0" r="1905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51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4951">
      <w:pPr>
        <w:pStyle w:val="168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2-7　BSM1 退化幅值-斜率扫描：首报与幅值无关（严重度需另算）</w:t>
      </w:r>
    </w:p>
    <w:p w14:paraId="4A9292D0">
      <w:pPr>
        <w:jc w:val="center"/>
      </w:pPr>
      <w:r>
        <w:drawing>
          <wp:inline distT="0" distB="0" distL="114300" distR="114300">
            <wp:extent cx="5255895" cy="1859280"/>
            <wp:effectExtent l="0" t="0" r="1905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8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A4B38">
      <w:pPr>
        <w:pStyle w:val="168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2-8　进水工况泛化：绝对阈值跨工况失效</w:t>
      </w:r>
    </w:p>
    <w:p w14:paraId="22F24FE0">
      <w:pPr>
        <w:jc w:val="center"/>
      </w:pPr>
      <w:r>
        <w:drawing>
          <wp:inline distT="0" distB="0" distL="114300" distR="114300">
            <wp:extent cx="5255895" cy="1510665"/>
            <wp:effectExtent l="0" t="0" r="1905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51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32848">
      <w:pPr>
        <w:pStyle w:val="168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2-9　雨/暴雨冲击工况：工况事件必须单独处理</w:t>
      </w:r>
    </w:p>
    <w:p w14:paraId="4986785A">
      <w:pPr>
        <w:jc w:val="center"/>
      </w:pPr>
      <w:r>
        <w:drawing>
          <wp:inline distT="0" distB="0" distL="114300" distR="114300">
            <wp:extent cx="5255895" cy="1751965"/>
            <wp:effectExtent l="0" t="0" r="1905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7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2DBD5">
      <w:pPr>
        <w:pStyle w:val="168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2-10　比值判据跨工况检验</w:t>
      </w:r>
    </w:p>
    <w:tbl>
      <w:tblPr>
        <w:tblStyle w:val="3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2831"/>
        <w:gridCol w:w="2831"/>
      </w:tblGrid>
      <w:tr w14:paraId="7C93A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F0F6FB"/>
          </w:tcPr>
          <w:p w14:paraId="56FDAB83">
            <w:pPr>
              <w:spacing w:after="0" w:line="240" w:lineRule="auto"/>
            </w:pPr>
            <w:r>
              <w:rPr>
                <w:rFonts w:ascii="Arial" w:hAnsi="Arial" w:eastAsia="黑体"/>
                <w:b/>
                <w:sz w:val="21"/>
              </w:rPr>
              <w:t>指标</w:t>
            </w:r>
          </w:p>
        </w:tc>
        <w:tc>
          <w:tcPr>
            <w:tcW w:w="1666" w:type="pct"/>
            <w:shd w:val="clear" w:color="auto" w:fill="F0F6FB"/>
          </w:tcPr>
          <w:p w14:paraId="46A5BDCB">
            <w:pPr>
              <w:spacing w:after="0" w:line="240" w:lineRule="auto"/>
            </w:pPr>
            <w:r>
              <w:rPr>
                <w:rFonts w:ascii="Arial" w:hAnsi="Arial" w:eastAsia="黑体"/>
                <w:b/>
                <w:sz w:val="21"/>
              </w:rPr>
              <w:t>现状（公开数据 / 仿真）</w:t>
            </w:r>
          </w:p>
        </w:tc>
        <w:tc>
          <w:tcPr>
            <w:tcW w:w="1666" w:type="pct"/>
            <w:shd w:val="clear" w:color="auto" w:fill="F0F6FB"/>
          </w:tcPr>
          <w:p w14:paraId="0F3593D8">
            <w:pPr>
              <w:spacing w:after="0" w:line="240" w:lineRule="auto"/>
            </w:pPr>
            <w:r>
              <w:rPr>
                <w:rFonts w:ascii="Arial" w:hAnsi="Arial" w:eastAsia="黑体"/>
                <w:b/>
                <w:sz w:val="21"/>
              </w:rPr>
              <w:t>试点验证方式</w:t>
            </w:r>
          </w:p>
        </w:tc>
      </w:tr>
      <w:tr w14:paraId="18661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358FD7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退化检出延迟</w:t>
            </w:r>
          </w:p>
        </w:tc>
        <w:tc>
          <w:tcPr>
            <w:tcW w:w="1666" w:type="pct"/>
          </w:tcPr>
          <w:p w14:paraId="7A8720A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设备级比值量约 </w:t>
            </w:r>
            <w:r>
              <w:rPr>
                <w:rFonts w:ascii="Times New Roman" w:hAnsi="Times New Roman" w:eastAsia="宋体"/>
                <w:b/>
                <w:sz w:val="21"/>
              </w:rPr>
              <w:t>10 天</w:t>
            </w:r>
            <w:r>
              <w:rPr>
                <w:rFonts w:ascii="Times New Roman" w:hAnsi="Times New Roman" w:eastAsia="宋体"/>
                <w:b w:val="0"/>
                <w:sz w:val="21"/>
              </w:rPr>
              <w:t>（含噪中位；理想单元上界 0.04 天）</w:t>
            </w:r>
          </w:p>
        </w:tc>
        <w:tc>
          <w:tcPr>
            <w:tcW w:w="1666" w:type="pct"/>
          </w:tcPr>
          <w:p w14:paraId="508030D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现场同一台设备的真实退化事件</w:t>
            </w:r>
          </w:p>
        </w:tc>
      </w:tr>
      <w:tr w14:paraId="4317C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608EF60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失效前提前量</w:t>
            </w:r>
          </w:p>
        </w:tc>
        <w:tc>
          <w:tcPr>
            <w:tcW w:w="1666" w:type="pct"/>
          </w:tcPr>
          <w:p w14:paraId="794D4106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35–37 天</w:t>
            </w:r>
            <w:r>
              <w:rPr>
                <w:rFonts w:ascii="Times New Roman" w:hAnsi="Times New Roman" w:eastAsia="宋体"/>
                <w:b w:val="0"/>
                <w:sz w:val="21"/>
              </w:rPr>
              <w:t>（污泥线脱水机场景，图 3-5、图 3-6）</w:t>
            </w:r>
          </w:p>
        </w:tc>
        <w:tc>
          <w:tcPr>
            <w:tcW w:w="1666" w:type="pct"/>
          </w:tcPr>
          <w:p w14:paraId="53C3843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与检修台账对齐</w:t>
            </w:r>
          </w:p>
        </w:tc>
      </w:tr>
      <w:tr w14:paraId="1AEFA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7647ED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误报强度</w:t>
            </w:r>
          </w:p>
        </w:tc>
        <w:tc>
          <w:tcPr>
            <w:tcW w:w="1666" w:type="pct"/>
          </w:tcPr>
          <w:p w14:paraId="318D67C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真实空压机 214 天 </w:t>
            </w:r>
            <w:r>
              <w:rPr>
                <w:rFonts w:ascii="Times New Roman" w:hAnsi="Times New Roman" w:eastAsia="宋体"/>
                <w:b/>
                <w:sz w:val="21"/>
              </w:rPr>
              <w:t>105 个告警</w:t>
            </w:r>
            <w:r>
              <w:rPr>
                <w:rFonts w:ascii="Times New Roman" w:hAnsi="Times New Roman" w:eastAsia="宋体"/>
                <w:b w:val="0"/>
                <w:sz w:val="21"/>
              </w:rPr>
              <w:t>（P1 56 / P2 30 / P3 19）</w:t>
            </w:r>
          </w:p>
        </w:tc>
        <w:tc>
          <w:tcPr>
            <w:tcW w:w="1666" w:type="pct"/>
          </w:tcPr>
          <w:p w14:paraId="21CEEA5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每月误报数与现场处置记录</w:t>
            </w:r>
          </w:p>
        </w:tc>
      </w:tr>
      <w:tr w14:paraId="2B913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73A8F9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RUL 误差</w:t>
            </w:r>
          </w:p>
        </w:tc>
        <w:tc>
          <w:tcPr>
            <w:tcW w:w="1666" w:type="pct"/>
          </w:tcPr>
          <w:p w14:paraId="5589726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孪生机理 RUL </w:t>
            </w:r>
            <w:r>
              <w:rPr>
                <w:rFonts w:ascii="Times New Roman" w:hAnsi="Times New Roman" w:eastAsia="宋体"/>
                <w:b/>
                <w:sz w:val="21"/>
              </w:rPr>
              <w:t>1.00–4.04 天</w:t>
            </w:r>
          </w:p>
        </w:tc>
        <w:tc>
          <w:tcPr>
            <w:tcW w:w="1666" w:type="pct"/>
          </w:tcPr>
          <w:p w14:paraId="55FE3E0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与真实更换时间比较</w:t>
            </w:r>
          </w:p>
        </w:tc>
      </w:tr>
      <w:tr w14:paraId="07168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6518E62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决策效果</w:t>
            </w:r>
          </w:p>
        </w:tc>
        <w:tc>
          <w:tcPr>
            <w:tcW w:w="1666" w:type="pct"/>
          </w:tcPr>
          <w:p w14:paraId="6F86412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C-MAPSS 省约 </w:t>
            </w:r>
            <w:r>
              <w:rPr>
                <w:rFonts w:ascii="Times New Roman" w:hAnsi="Times New Roman" w:eastAsia="宋体"/>
                <w:b/>
                <w:sz w:val="21"/>
              </w:rPr>
              <w:t>16%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（12/15 格）；污泥线 </w:t>
            </w:r>
            <w:r>
              <w:rPr>
                <w:rFonts w:ascii="Times New Roman" w:hAnsi="Times New Roman" w:eastAsia="宋体"/>
                <w:b/>
                <w:sz w:val="21"/>
              </w:rPr>
              <w:t>24.5%</w:t>
            </w:r>
            <w:r>
              <w:rPr>
                <w:rFonts w:ascii="Times New Roman" w:hAnsi="Times New Roman" w:eastAsia="宋体"/>
                <w:b w:val="0"/>
                <w:sz w:val="21"/>
              </w:rPr>
              <w:t>（9/9 格），非计划失效 0</w:t>
            </w:r>
          </w:p>
        </w:tc>
        <w:tc>
          <w:tcPr>
            <w:tcW w:w="1666" w:type="pct"/>
          </w:tcPr>
          <w:p w14:paraId="0AFCA68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用现场成本参数重算</w:t>
            </w:r>
          </w:p>
        </w:tc>
      </w:tr>
    </w:tbl>
    <w:p w14:paraId="51D80C9C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预期成效（试点 1 台设备、3–6 个月）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：把「坏了才修」变成「按剩余寿命排计划」，减少非计划停机与备件浪费。</w:t>
      </w:r>
      <w:r>
        <w:rPr>
          <w:rFonts w:ascii="Times New Roman" w:hAnsi="Times New Roman" w:eastAsia="宋体" w:cs="Times New Roman"/>
          <w:b/>
          <w:sz w:val="24"/>
          <w:szCs w:val="24"/>
        </w:rPr>
        <w:t>注意：成本与收益金额必须用现场成本参数重新标定后才能对外。</w:t>
      </w:r>
    </w:p>
    <w:p w14:paraId="5DE4C172"/>
    <w:p w14:paraId="3E569EBD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br w:type="page"/>
      </w:r>
    </w:p>
    <w:p w14:paraId="1CAF1F30">
      <w:pPr>
        <w:pStyle w:val="3"/>
        <w:numPr>
          <w:ilvl w:val="0"/>
          <w:numId w:val="7"/>
        </w:numPr>
        <w:ind w:left="0" w:leftChars="0" w:firstLine="0" w:firstLineChars="0"/>
        <w:rPr>
          <w:rFonts w:eastAsia="黑体"/>
          <w:b w:val="0"/>
          <w:bCs w:val="0"/>
          <w:sz w:val="32"/>
          <w:szCs w:val="44"/>
        </w:rPr>
      </w:pPr>
      <w:bookmarkStart w:id="8" w:name="_Toc20173"/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实施方案</w:t>
      </w:r>
      <w:bookmarkEnd w:id="8"/>
    </w:p>
    <w:p w14:paraId="05ED9CB1">
      <w:pPr>
        <w:pStyle w:val="4"/>
        <w:numPr>
          <w:ilvl w:val="0"/>
          <w:numId w:val="11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</w:rPr>
      </w:pPr>
      <w:bookmarkStart w:id="9" w:name="_Toc17376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系统架构（四层）</w:t>
      </w:r>
      <w:bookmarkEnd w:id="9"/>
    </w:p>
    <w:p w14:paraId="31DEB697">
      <w:pPr>
        <w:jc w:val="center"/>
      </w:pPr>
      <w:r>
        <w:drawing>
          <wp:inline distT="0" distB="0" distL="114300" distR="114300">
            <wp:extent cx="5255895" cy="1726565"/>
            <wp:effectExtent l="0" t="0" r="1905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72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1D371">
      <w:pPr>
        <w:pStyle w:val="168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3-1　多轨迹稳健性：不同退化起始与速率的检出表现</w:t>
      </w:r>
    </w:p>
    <w:p w14:paraId="63DDD5D6">
      <w:pPr>
        <w:jc w:val="center"/>
      </w:pPr>
      <w:r>
        <w:drawing>
          <wp:inline distT="0" distB="0" distL="114300" distR="114300">
            <wp:extent cx="5255895" cy="1421765"/>
            <wp:effectExtent l="0" t="0" r="1905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42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915BC">
      <w:pPr>
        <w:pStyle w:val="168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3-2　在线因果 RUL 门禁：判据与误挂率</w:t>
      </w:r>
    </w:p>
    <w:p w14:paraId="7C463D83">
      <w:pPr>
        <w:jc w:val="center"/>
      </w:pPr>
      <w:r>
        <w:drawing>
          <wp:inline distT="0" distB="0" distL="114300" distR="114300">
            <wp:extent cx="5255895" cy="1611630"/>
            <wp:effectExtent l="0" t="0" r="1905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61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DD4E3">
      <w:pPr>
        <w:pStyle w:val="168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3-3　在线链路多轨迹：门禁挂载与在线 RUL 可算性</w:t>
      </w:r>
    </w:p>
    <w:tbl>
      <w:tblPr>
        <w:tblStyle w:val="3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2831"/>
        <w:gridCol w:w="2831"/>
      </w:tblGrid>
      <w:tr w14:paraId="78B23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F0F6FB"/>
          </w:tcPr>
          <w:p w14:paraId="026907FD">
            <w:pPr>
              <w:spacing w:after="0" w:line="240" w:lineRule="auto"/>
            </w:pPr>
            <w:r>
              <w:rPr>
                <w:rFonts w:ascii="Arial" w:hAnsi="Arial" w:eastAsia="黑体"/>
                <w:b/>
                <w:sz w:val="21"/>
              </w:rPr>
              <w:t>层</w:t>
            </w:r>
          </w:p>
        </w:tc>
        <w:tc>
          <w:tcPr>
            <w:tcW w:w="1666" w:type="pct"/>
            <w:shd w:val="clear" w:color="auto" w:fill="F0F6FB"/>
          </w:tcPr>
          <w:p w14:paraId="4B319C03">
            <w:pPr>
              <w:spacing w:after="0" w:line="240" w:lineRule="auto"/>
            </w:pPr>
            <w:r>
              <w:rPr>
                <w:rFonts w:ascii="Arial" w:hAnsi="Arial" w:eastAsia="黑体"/>
                <w:b/>
                <w:sz w:val="21"/>
              </w:rPr>
              <w:t>内容</w:t>
            </w:r>
          </w:p>
        </w:tc>
        <w:tc>
          <w:tcPr>
            <w:tcW w:w="1666" w:type="pct"/>
            <w:shd w:val="clear" w:color="auto" w:fill="F0F6FB"/>
          </w:tcPr>
          <w:p w14:paraId="27759653">
            <w:pPr>
              <w:spacing w:after="0" w:line="240" w:lineRule="auto"/>
            </w:pPr>
            <w:r>
              <w:rPr>
                <w:rFonts w:ascii="Arial" w:hAnsi="Arial" w:eastAsia="黑体"/>
                <w:b/>
                <w:sz w:val="21"/>
              </w:rPr>
              <w:t>交付物</w:t>
            </w:r>
          </w:p>
        </w:tc>
      </w:tr>
      <w:tr w14:paraId="2464D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69ECA5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数据层</w:t>
            </w:r>
          </w:p>
        </w:tc>
        <w:tc>
          <w:tcPr>
            <w:tcW w:w="1666" w:type="pct"/>
          </w:tcPr>
          <w:p w14:paraId="230936D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现场 CSV 导出（时间戳 + 模拟量 + 状态列）；体检与清洗</w:t>
            </w:r>
          </w:p>
        </w:tc>
        <w:tc>
          <w:tcPr>
            <w:tcW w:w="1666" w:type="pct"/>
          </w:tcPr>
          <w:p w14:paraId="41FFF93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inspect</w:t>
            </w:r>
          </w:p>
        </w:tc>
      </w:tr>
      <w:tr w14:paraId="6F2E6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18CFD12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算法层</w:t>
            </w:r>
          </w:p>
        </w:tc>
        <w:tc>
          <w:tcPr>
            <w:tcW w:w="1666" w:type="pct"/>
          </w:tcPr>
          <w:p w14:paraId="677709E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双基线检测 / 工况条件化 / 事件机 / 诊断 / 机理 RUL / 维护决策</w:t>
            </w:r>
          </w:p>
        </w:tc>
        <w:tc>
          <w:tcPr>
            <w:tcW w:w="1666" w:type="pct"/>
          </w:tcPr>
          <w:p w14:paraId="12C4C3F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研究链路脚本（可复现）</w:t>
            </w:r>
          </w:p>
        </w:tc>
      </w:tr>
      <w:tr w14:paraId="7EBF7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647C50C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服务层</w:t>
            </w:r>
          </w:p>
        </w:tc>
        <w:tc>
          <w:tcPr>
            <w:tcW w:w="1666" w:type="pct"/>
          </w:tcPr>
          <w:p w14:paraId="05877FF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本地网页工作台、命令行工具</w:t>
            </w:r>
          </w:p>
        </w:tc>
        <w:tc>
          <w:tcPr>
            <w:tcW w:w="1666" w:type="pct"/>
          </w:tcPr>
          <w:p w14:paraId="1685CE8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serve / CLI</w:t>
            </w:r>
          </w:p>
        </w:tc>
      </w:tr>
      <w:tr w14:paraId="77440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6BDF59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交付层</w:t>
            </w:r>
          </w:p>
        </w:tc>
        <w:tc>
          <w:tcPr>
            <w:tcW w:w="1666" w:type="pct"/>
          </w:tcPr>
          <w:p w14:paraId="5B1C455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企业版报告、演示页与演示台、复现包</w:t>
            </w:r>
          </w:p>
        </w:tc>
        <w:tc>
          <w:tcPr>
            <w:tcW w:w="1666" w:type="pct"/>
          </w:tcPr>
          <w:p w14:paraId="20F9C43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report.html / Pages / run_all.py</w:t>
            </w:r>
          </w:p>
        </w:tc>
      </w:tr>
    </w:tbl>
    <w:p w14:paraId="162D2BCE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（架构图见图 1-1，部署与数据流见图 2-1。）</w:t>
      </w:r>
    </w:p>
    <w:p w14:paraId="39D62348">
      <w:pPr>
        <w:pStyle w:val="4"/>
        <w:numPr>
          <w:ilvl w:val="0"/>
          <w:numId w:val="11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</w:rPr>
      </w:pPr>
      <w:bookmarkStart w:id="10" w:name="_Toc29781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核心模块设计</w:t>
      </w:r>
      <w:bookmarkEnd w:id="10"/>
    </w:p>
    <w:p w14:paraId="07FC475C">
      <w:pPr>
        <w:jc w:val="center"/>
      </w:pPr>
      <w:r>
        <w:drawing>
          <wp:inline distT="0" distB="0" distL="114300" distR="114300">
            <wp:extent cx="5255895" cy="1751965"/>
            <wp:effectExtent l="0" t="0" r="1905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7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A23CF">
      <w:pPr>
        <w:pStyle w:val="168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3-4　组合报警策略（单点/比值/并集/与门）对比</w:t>
      </w:r>
    </w:p>
    <w:p w14:paraId="72EC0680">
      <w:pPr>
        <w:jc w:val="center"/>
      </w:pPr>
      <w:r>
        <w:drawing>
          <wp:inline distT="0" distB="0" distL="114300" distR="114300">
            <wp:extent cx="5255895" cy="2815590"/>
            <wp:effectExtent l="0" t="0" r="1905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81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C6F56">
      <w:pPr>
        <w:pStyle w:val="168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3-5　污泥线闭环（路线 A）：含固率、湿泥饼量、滤液与检测分数</w:t>
      </w:r>
    </w:p>
    <w:p w14:paraId="3ECF9AE1">
      <w:pPr>
        <w:jc w:val="center"/>
      </w:pPr>
      <w:r>
        <w:drawing>
          <wp:inline distT="0" distB="0" distL="114300" distR="114300">
            <wp:extent cx="5255895" cy="1510665"/>
            <wp:effectExtent l="0" t="0" r="1905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51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4133">
      <w:pPr>
        <w:pStyle w:val="168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3-6　污泥线幅值/速率扫描：8 场景首报一致</w:t>
      </w:r>
    </w:p>
    <w:p w14:paraId="50D7712C">
      <w:pPr>
        <w:jc w:val="center"/>
      </w:pPr>
      <w:r>
        <w:drawing>
          <wp:inline distT="0" distB="0" distL="114300" distR="114300">
            <wp:extent cx="5255895" cy="1510665"/>
            <wp:effectExtent l="0" t="0" r="1905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51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735F">
      <w:pPr>
        <w:pStyle w:val="168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3-7　维护策略对比：RUL 驱动 vs 固定周期（占位成本）</w:t>
      </w:r>
    </w:p>
    <w:p w14:paraId="52A2CCCB">
      <w:pPr>
        <w:pStyle w:val="19"/>
        <w:widowControl/>
        <w:numPr>
          <w:ilvl w:val="0"/>
          <w:numId w:val="12"/>
        </w:numPr>
        <w:ind w:left="0" w:leftChars="0" w:firstLine="482" w:firstLineChars="0"/>
        <w:rPr>
          <w:rFonts w:eastAsia="宋体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检测模块</w:t>
      </w:r>
    </w:p>
    <w:p w14:paraId="08354270">
      <w:pPr>
        <w:pStyle w:val="19"/>
        <w:widowControl/>
        <w:numPr>
          <w:ilvl w:val="0"/>
          <w:numId w:val="3"/>
        </w:numPr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输入：测点序列（可含状态列）；输出：分级告警事件流（起点、结束、持续分钟、来源通道、峰值分数、判据阈值、分布位置比值、等级）；</w:t>
      </w:r>
    </w:p>
    <w:p w14:paraId="58A1F887">
      <w:pPr>
        <w:pStyle w:val="19"/>
        <w:widowControl/>
        <w:numPr>
          <w:ilvl w:val="0"/>
          <w:numId w:val="3"/>
        </w:numPr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关键参数：冻结参考窗（稳态段）、工况分层（状态列 / 时段 / 负荷分位）、事件机（4 / 8 / 0.8 / 8）、分位阈值（默认 0.999）；</w:t>
      </w:r>
    </w:p>
    <w:p w14:paraId="549FEF12">
      <w:pPr>
        <w:pStyle w:val="19"/>
        <w:widowControl/>
        <w:numPr>
          <w:ilvl w:val="0"/>
          <w:numId w:val="3"/>
        </w:numPr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验证：真实空压机 214 天 </w:t>
      </w:r>
      <w:r>
        <w:rPr>
          <w:rFonts w:ascii="Times New Roman" w:hAnsi="Times New Roman" w:eastAsia="宋体" w:cs="Times New Roman"/>
          <w:b/>
          <w:sz w:val="24"/>
          <w:szCs w:val="24"/>
        </w:rPr>
        <w:t>105 个告警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；BSM1 上工具与研究链路首报</w:t>
      </w:r>
      <w:r>
        <w:rPr>
          <w:rFonts w:ascii="Times New Roman" w:hAnsi="Times New Roman" w:eastAsia="宋体" w:cs="Times New Roman"/>
          <w:b/>
          <w:sz w:val="24"/>
          <w:szCs w:val="24"/>
        </w:rPr>
        <w:t>完全一致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（40.28 天）；</w:t>
      </w:r>
    </w:p>
    <w:p w14:paraId="44F08226">
      <w:pPr>
        <w:pStyle w:val="19"/>
        <w:widowControl/>
        <w:numPr>
          <w:ilvl w:val="0"/>
          <w:numId w:val="3"/>
        </w:numPr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已知边界：慢漂移下自适应通道漏检；工况变化下固定参考域误报（图 2-8、图 2-9）；组合策略（单点 / 比值 / 并集 / 与门）对比见图 3-4。</w:t>
      </w:r>
    </w:p>
    <w:p w14:paraId="45160565">
      <w:pPr>
        <w:pStyle w:val="19"/>
        <w:widowControl/>
        <w:numPr>
          <w:ilvl w:val="0"/>
          <w:numId w:val="12"/>
        </w:numPr>
        <w:ind w:left="0" w:leftChars="0" w:firstLine="482" w:firstLineChars="0"/>
        <w:rPr>
          <w:rFonts w:eastAsia="宋体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诊断模块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：CWRU 轴承基准上，同记录/跨转速 宏F1 </w:t>
      </w:r>
      <w:r>
        <w:rPr>
          <w:rFonts w:ascii="Times New Roman" w:hAnsi="Times New Roman" w:eastAsia="宋体" w:cs="Times New Roman"/>
          <w:b/>
          <w:sz w:val="24"/>
          <w:szCs w:val="24"/>
        </w:rPr>
        <w:t>1.000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，跨故障尺寸 </w:t>
      </w:r>
      <w:r>
        <w:rPr>
          <w:rFonts w:ascii="Times New Roman" w:hAnsi="Times New Roman" w:eastAsia="宋体" w:cs="Times New Roman"/>
          <w:b/>
          <w:sz w:val="24"/>
          <w:szCs w:val="24"/>
        </w:rPr>
        <w:t>0.536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（边界已标注）；下一步是与水务设备语义（轴承/叶轮/密封/气蚀）的映射。</w:t>
      </w:r>
    </w:p>
    <w:p w14:paraId="02543F9D">
      <w:pPr>
        <w:pStyle w:val="19"/>
        <w:widowControl/>
        <w:numPr>
          <w:ilvl w:val="0"/>
          <w:numId w:val="12"/>
        </w:numPr>
        <w:ind w:left="0" w:leftChars="0" w:firstLine="482" w:firstLineChars="0"/>
        <w:rPr>
          <w:rFonts w:eastAsia="宋体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剩余寿命模块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：C-MAPSS 涡扇基准 GBR RMSE </w:t>
      </w:r>
      <w:r>
        <w:rPr>
          <w:rFonts w:ascii="Times New Roman" w:hAnsi="Times New Roman" w:eastAsia="宋体" w:cs="Times New Roman"/>
          <w:b/>
          <w:sz w:val="24"/>
          <w:szCs w:val="24"/>
        </w:rPr>
        <w:t>15.27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（PHM08 </w:t>
      </w:r>
      <w:r>
        <w:rPr>
          <w:rFonts w:ascii="Times New Roman" w:hAnsi="Times New Roman" w:eastAsia="宋体" w:cs="Times New Roman"/>
          <w:b/>
          <w:sz w:val="24"/>
          <w:szCs w:val="24"/>
        </w:rPr>
        <w:t>434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，第二套实现偏差 2.4%）；孪生场景机理 RUL 误差 1.00–4.04 天（在线门禁与在线链路见图 3-2、图 3-3）；输出附「趋势是否仍在下降」门控与窗长选择规则。</w:t>
      </w:r>
    </w:p>
    <w:p w14:paraId="6BBC263D">
      <w:pPr>
        <w:pStyle w:val="19"/>
        <w:widowControl/>
        <w:numPr>
          <w:ilvl w:val="0"/>
          <w:numId w:val="12"/>
        </w:numPr>
        <w:ind w:left="0" w:leftChars="0" w:firstLine="482" w:firstLineChars="0"/>
        <w:rPr>
          <w:rFonts w:eastAsia="宋体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决策模块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：维护策略对比（固定周期 / 报警即处置 / RUL 驱动 / 纯失效驱动），C-MAPSS 上省约 </w:t>
      </w:r>
      <w:r>
        <w:rPr>
          <w:rFonts w:ascii="Times New Roman" w:hAnsi="Times New Roman" w:eastAsia="宋体" w:cs="Times New Roman"/>
          <w:b/>
          <w:sz w:val="24"/>
          <w:szCs w:val="24"/>
        </w:rPr>
        <w:t>16%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（15 格胜 12 格），污泥线脱水机省 </w:t>
      </w:r>
      <w:r>
        <w:rPr>
          <w:rFonts w:ascii="Times New Roman" w:hAnsi="Times New Roman" w:eastAsia="宋体" w:cs="Times New Roman"/>
          <w:b/>
          <w:sz w:val="24"/>
          <w:szCs w:val="24"/>
        </w:rPr>
        <w:t>24.5%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（9/9 格胜）、非计划失效 0（图 3-7）。</w:t>
      </w:r>
    </w:p>
    <w:p w14:paraId="5F1177D8">
      <w:pPr>
        <w:pStyle w:val="19"/>
        <w:widowControl/>
        <w:numPr>
          <w:ilvl w:val="0"/>
          <w:numId w:val="12"/>
        </w:numPr>
        <w:ind w:left="0" w:leftChars="0" w:firstLine="482" w:firstLineChars="0"/>
        <w:rPr>
          <w:rFonts w:eastAsia="宋体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接入标定工具（lanmai CLI）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：六个子命令（inspect / calibrate / watch / report / serve / selftest）；支持</w:t>
      </w:r>
      <w:r>
        <w:rPr>
          <w:rFonts w:ascii="Times New Roman" w:hAnsi="Times New Roman" w:eastAsia="宋体" w:cs="Times New Roman"/>
          <w:b/>
          <w:sz w:val="24"/>
          <w:szCs w:val="24"/>
        </w:rPr>
        <w:t>多段健康期标定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（同一批数据用不同健康段标定，阈值可差 </w:t>
      </w:r>
      <w:r>
        <w:rPr>
          <w:rFonts w:ascii="Times New Roman" w:hAnsi="Times New Roman" w:eastAsia="宋体" w:cs="Times New Roman"/>
          <w:b/>
          <w:sz w:val="24"/>
          <w:szCs w:val="24"/>
        </w:rPr>
        <w:t>2–4 倍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，因此必须多段，图 2-5）；参考窗有趋势时主动告警。</w:t>
      </w:r>
    </w:p>
    <w:p w14:paraId="4705F1DD">
      <w:pPr>
        <w:pStyle w:val="19"/>
        <w:widowControl/>
        <w:numPr>
          <w:ilvl w:val="0"/>
          <w:numId w:val="12"/>
        </w:numPr>
        <w:ind w:left="0" w:leftChars="0" w:firstLine="482" w:firstLineChars="0"/>
        <w:rPr>
          <w:rFonts w:eastAsia="宋体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企业版报告与本地工作台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：报告把「体检 / 标定 / P1·P2·P3 / 四图 / 口径与局限 / 复现命令」渲染成</w:t>
      </w:r>
      <w:r>
        <w:rPr>
          <w:rFonts w:ascii="Times New Roman" w:hAnsi="Times New Roman" w:eastAsia="宋体" w:cs="Times New Roman"/>
          <w:b/>
          <w:sz w:val="24"/>
          <w:szCs w:val="24"/>
        </w:rPr>
        <w:t>自包含单文件 HTML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（图 3-14）；工作台让现场同事</w:t>
      </w:r>
      <w:r>
        <w:rPr>
          <w:rFonts w:ascii="Times New Roman" w:hAnsi="Times New Roman" w:eastAsia="宋体" w:cs="Times New Roman"/>
          <w:b/>
          <w:sz w:val="24"/>
          <w:szCs w:val="24"/>
        </w:rPr>
        <w:t>在浏览器里上传 CSV 就能出报告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（图 3-13）。</w:t>
      </w:r>
    </w:p>
    <w:p w14:paraId="6EB6EE57">
      <w:pPr>
        <w:pStyle w:val="4"/>
        <w:numPr>
          <w:ilvl w:val="0"/>
          <w:numId w:val="11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</w:rPr>
      </w:pPr>
      <w:bookmarkStart w:id="11" w:name="_Toc22296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技术路线</w:t>
      </w:r>
      <w:bookmarkEnd w:id="11"/>
    </w:p>
    <w:p w14:paraId="7BA12EF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数据获取（现场导出 / 公开数据）→ 数据体检与清洗 → </w:t>
      </w:r>
      <w:r>
        <w:rPr>
          <w:rFonts w:ascii="Times New Roman" w:hAnsi="Times New Roman" w:eastAsia="宋体" w:cs="Times New Roman"/>
          <w:b/>
          <w:sz w:val="24"/>
          <w:szCs w:val="24"/>
        </w:rPr>
        <w:t>健康期标定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（多段 + 工况分层）→ </w:t>
      </w:r>
      <w:r>
        <w:rPr>
          <w:rFonts w:ascii="Times New Roman" w:hAnsi="Times New Roman" w:eastAsia="宋体" w:cs="Times New Roman"/>
          <w:b/>
          <w:sz w:val="24"/>
          <w:szCs w:val="24"/>
        </w:rPr>
        <w:t>在线检测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（双基线 + 事件机 + 分级）→ 诊断（部件级）→ </w:t>
      </w:r>
      <w:r>
        <w:rPr>
          <w:rFonts w:ascii="Times New Roman" w:hAnsi="Times New Roman" w:eastAsia="宋体" w:cs="Times New Roman"/>
          <w:b/>
          <w:sz w:val="24"/>
          <w:szCs w:val="24"/>
        </w:rPr>
        <w:t>机理 RUL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（门控 + 窗长）→ </w:t>
      </w:r>
      <w:r>
        <w:rPr>
          <w:rFonts w:ascii="Times New Roman" w:hAnsi="Times New Roman" w:eastAsia="宋体" w:cs="Times New Roman"/>
          <w:b/>
          <w:sz w:val="24"/>
          <w:szCs w:val="24"/>
        </w:rPr>
        <w:t>维护决策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（成本模型）→ 回测（与检修台账比对）→ 迭代。</w:t>
      </w:r>
    </w:p>
    <w:p w14:paraId="25996ED6">
      <w:pPr>
        <w:pStyle w:val="4"/>
        <w:numPr>
          <w:ilvl w:val="0"/>
          <w:numId w:val="11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</w:rPr>
      </w:pPr>
      <w:bookmarkStart w:id="12" w:name="_Toc10457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实验与验证手段</w:t>
      </w:r>
      <w:bookmarkEnd w:id="12"/>
    </w:p>
    <w:p w14:paraId="68BDACA6">
      <w:pPr>
        <w:jc w:val="center"/>
      </w:pPr>
      <w:r>
        <w:drawing>
          <wp:inline distT="0" distB="0" distL="114300" distR="114300">
            <wp:extent cx="5255895" cy="3427730"/>
            <wp:effectExtent l="0" t="0" r="1905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42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B4440">
      <w:pPr>
        <w:pStyle w:val="168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3-8　BSM2 整厂退化：原始量检不出、设备级比值通道可检出</w:t>
      </w:r>
    </w:p>
    <w:p w14:paraId="330C74D5">
      <w:pPr>
        <w:jc w:val="center"/>
      </w:pPr>
      <w:r>
        <w:drawing>
          <wp:inline distT="0" distB="0" distL="114300" distR="114300">
            <wp:extent cx="5255895" cy="1522095"/>
            <wp:effectExtent l="0" t="0" r="1905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52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01B2E">
      <w:pPr>
        <w:pStyle w:val="168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3-9　整厂幅值/速率扫描：延迟随速率与幅值单调变化</w:t>
      </w:r>
    </w:p>
    <w:tbl>
      <w:tblPr>
        <w:tblStyle w:val="3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2123"/>
        <w:gridCol w:w="2123"/>
        <w:gridCol w:w="2123"/>
      </w:tblGrid>
      <w:tr w14:paraId="35E346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  <w:shd w:val="clear" w:color="auto" w:fill="F0F6FB"/>
          </w:tcPr>
          <w:p w14:paraId="14FB7257">
            <w:pPr>
              <w:spacing w:after="0" w:line="240" w:lineRule="auto"/>
            </w:pPr>
            <w:r>
              <w:rPr>
                <w:rFonts w:ascii="Arial" w:hAnsi="Arial" w:eastAsia="黑体"/>
                <w:b/>
                <w:sz w:val="21"/>
              </w:rPr>
              <w:t>数据/模型</w:t>
            </w:r>
          </w:p>
        </w:tc>
        <w:tc>
          <w:tcPr>
            <w:tcW w:w="1250" w:type="pct"/>
            <w:shd w:val="clear" w:color="auto" w:fill="F0F6FB"/>
          </w:tcPr>
          <w:p w14:paraId="134C7BF4">
            <w:pPr>
              <w:spacing w:after="0" w:line="240" w:lineRule="auto"/>
            </w:pPr>
            <w:r>
              <w:rPr>
                <w:rFonts w:ascii="Arial" w:hAnsi="Arial" w:eastAsia="黑体"/>
                <w:b/>
                <w:sz w:val="21"/>
              </w:rPr>
              <w:t>类型</w:t>
            </w:r>
          </w:p>
        </w:tc>
        <w:tc>
          <w:tcPr>
            <w:tcW w:w="1250" w:type="pct"/>
            <w:shd w:val="clear" w:color="auto" w:fill="F0F6FB"/>
          </w:tcPr>
          <w:p w14:paraId="79797203">
            <w:pPr>
              <w:spacing w:after="0" w:line="240" w:lineRule="auto"/>
            </w:pPr>
            <w:r>
              <w:rPr>
                <w:rFonts w:ascii="Arial" w:hAnsi="Arial" w:eastAsia="黑体"/>
                <w:b/>
                <w:sz w:val="21"/>
              </w:rPr>
              <w:t>用途</w:t>
            </w:r>
          </w:p>
        </w:tc>
        <w:tc>
          <w:tcPr>
            <w:tcW w:w="1250" w:type="pct"/>
            <w:shd w:val="clear" w:color="auto" w:fill="F0F6FB"/>
          </w:tcPr>
          <w:p w14:paraId="166D0BCD">
            <w:pPr>
              <w:spacing w:after="0" w:line="240" w:lineRule="auto"/>
            </w:pPr>
            <w:r>
              <w:rPr>
                <w:rFonts w:ascii="Arial" w:hAnsi="Arial" w:eastAsia="黑体"/>
                <w:b/>
                <w:sz w:val="21"/>
              </w:rPr>
              <w:t>关键结果</w:t>
            </w:r>
          </w:p>
        </w:tc>
      </w:tr>
      <w:tr w14:paraId="7E554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1BDB435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SKAB</w:t>
            </w:r>
          </w:p>
        </w:tc>
        <w:tc>
          <w:tcPr>
            <w:tcW w:w="1250" w:type="pct"/>
          </w:tcPr>
          <w:p w14:paraId="750A329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真实水泵台架（人工注入故障）</w:t>
            </w:r>
          </w:p>
        </w:tc>
        <w:tc>
          <w:tcPr>
            <w:tcW w:w="1250" w:type="pct"/>
          </w:tcPr>
          <w:p w14:paraId="17A5AE2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异常检测主实验</w:t>
            </w:r>
          </w:p>
        </w:tc>
        <w:tc>
          <w:tcPr>
            <w:tcW w:w="1250" w:type="pct"/>
          </w:tcPr>
          <w:p w14:paraId="4AC3FF1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三方法</w:t>
            </w:r>
            <w:r>
              <w:rPr>
                <w:rFonts w:ascii="Times New Roman" w:hAnsi="Times New Roman" w:eastAsia="宋体"/>
                <w:b/>
                <w:sz w:val="21"/>
              </w:rPr>
              <w:t>双实现零偏差</w:t>
            </w:r>
            <w:r>
              <w:rPr>
                <w:rFonts w:ascii="Times New Roman" w:hAnsi="Times New Roman" w:eastAsia="宋体"/>
                <w:b w:val="0"/>
                <w:sz w:val="21"/>
              </w:rPr>
              <w:t>；DET 曲线定稿（图 2-3）</w:t>
            </w:r>
          </w:p>
        </w:tc>
      </w:tr>
      <w:tr w14:paraId="0C753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357E006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MetroPT-3</w:t>
            </w:r>
          </w:p>
        </w:tc>
        <w:tc>
          <w:tcPr>
            <w:tcW w:w="1250" w:type="pct"/>
          </w:tcPr>
          <w:p w14:paraId="0731E33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真实地铁空压机，214 天</w:t>
            </w:r>
          </w:p>
        </w:tc>
        <w:tc>
          <w:tcPr>
            <w:tcW w:w="1250" w:type="pct"/>
          </w:tcPr>
          <w:p w14:paraId="5D1BBEC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真实故障验证</w:t>
            </w:r>
          </w:p>
        </w:tc>
        <w:tc>
          <w:tcPr>
            <w:tcW w:w="1250" w:type="pct"/>
          </w:tcPr>
          <w:p w14:paraId="3DA17A3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及时命中 2/4（</w:t>
            </w:r>
            <w:r>
              <w:rPr>
                <w:rFonts w:ascii="Times New Roman" w:hAnsi="Times New Roman" w:eastAsia="宋体"/>
                <w:b/>
                <w:sz w:val="21"/>
              </w:rPr>
              <w:t>标签辅助选点</w:t>
            </w:r>
            <w:r>
              <w:rPr>
                <w:rFonts w:ascii="Times New Roman" w:hAnsi="Times New Roman" w:eastAsia="宋体"/>
                <w:b w:val="0"/>
                <w:sz w:val="21"/>
              </w:rPr>
              <w:t>）；无标签口径 0/4，如实声明</w:t>
            </w:r>
          </w:p>
        </w:tc>
      </w:tr>
      <w:tr w14:paraId="63BBC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6DE045E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CWRU</w:t>
            </w:r>
          </w:p>
        </w:tc>
        <w:tc>
          <w:tcPr>
            <w:tcW w:w="1250" w:type="pct"/>
          </w:tcPr>
          <w:p w14:paraId="00483EA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真实轴承实验台</w:t>
            </w:r>
          </w:p>
        </w:tc>
        <w:tc>
          <w:tcPr>
            <w:tcW w:w="1250" w:type="pct"/>
          </w:tcPr>
          <w:p w14:paraId="0C08C5A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故障诊断</w:t>
            </w:r>
          </w:p>
        </w:tc>
        <w:tc>
          <w:tcPr>
            <w:tcW w:w="1250" w:type="pct"/>
          </w:tcPr>
          <w:p w14:paraId="4FD0095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同记录/跨转速 1.000；跨尺寸 0.536</w:t>
            </w:r>
          </w:p>
        </w:tc>
      </w:tr>
      <w:tr w14:paraId="2B5B9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7E210E6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C-MAPSS</w:t>
            </w:r>
          </w:p>
        </w:tc>
        <w:tc>
          <w:tcPr>
            <w:tcW w:w="1250" w:type="pct"/>
          </w:tcPr>
          <w:p w14:paraId="283E391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真实基准（仿真退化）</w:t>
            </w:r>
          </w:p>
        </w:tc>
        <w:tc>
          <w:tcPr>
            <w:tcW w:w="1250" w:type="pct"/>
          </w:tcPr>
          <w:p w14:paraId="44705A7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剩余寿命与决策</w:t>
            </w:r>
          </w:p>
        </w:tc>
        <w:tc>
          <w:tcPr>
            <w:tcW w:w="1250" w:type="pct"/>
          </w:tcPr>
          <w:p w14:paraId="316B8D2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RMSE 15.27 / 省约 16%（图 2-2）</w:t>
            </w:r>
          </w:p>
        </w:tc>
      </w:tr>
      <w:tr w14:paraId="29926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17CA239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BSM1 / BSM2</w:t>
            </w:r>
          </w:p>
        </w:tc>
        <w:tc>
          <w:tcPr>
            <w:tcW w:w="1250" w:type="pct"/>
          </w:tcPr>
          <w:p w14:paraId="46819B6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IWA 标准机理模型（</w:t>
            </w:r>
            <w:r>
              <w:rPr>
                <w:rFonts w:ascii="Times New Roman" w:hAnsi="Times New Roman" w:eastAsia="宋体"/>
                <w:b/>
                <w:sz w:val="21"/>
              </w:rPr>
              <w:t>仿真</w:t>
            </w:r>
            <w:r>
              <w:rPr>
                <w:rFonts w:ascii="Times New Roman" w:hAnsi="Times New Roman" w:eastAsia="宋体"/>
                <w:b w:val="0"/>
                <w:sz w:val="21"/>
              </w:rPr>
              <w:t>）</w:t>
            </w:r>
          </w:p>
        </w:tc>
        <w:tc>
          <w:tcPr>
            <w:tcW w:w="1250" w:type="pct"/>
          </w:tcPr>
          <w:p w14:paraId="207C2C8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闭环验证（有真值）</w:t>
            </w:r>
          </w:p>
        </w:tc>
        <w:tc>
          <w:tcPr>
            <w:tcW w:w="1250" w:type="pct"/>
          </w:tcPr>
          <w:p w14:paraId="58A138E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闭环 + 工况/雨暴雨 + 双基线 + 多轨迹 + 在线门禁 + 污泥线 + 整厂（图 2-6–图 2-10、图 3-1–图 3-12）</w:t>
            </w:r>
          </w:p>
        </w:tc>
      </w:tr>
    </w:tbl>
    <w:p w14:paraId="32B527CC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验证纪律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：① 每个结论都要有第二套独立实现复核（已四轮，台账见 PROJECT_STATE 第 19/26/28/31 节）；② 数字必须能从结果文件复算（总检 30/30）；③ 仿真一律标注仿真。</w:t>
      </w:r>
    </w:p>
    <w:p w14:paraId="6EE6106C">
      <w:pPr>
        <w:pStyle w:val="4"/>
        <w:numPr>
          <w:ilvl w:val="0"/>
          <w:numId w:val="11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</w:rPr>
      </w:pPr>
      <w:bookmarkStart w:id="13" w:name="_Toc559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关键技术方案（难点 → 对策）</w:t>
      </w:r>
      <w:bookmarkEnd w:id="13"/>
    </w:p>
    <w:p w14:paraId="05987F5D">
      <w:pPr>
        <w:jc w:val="center"/>
      </w:pPr>
      <w:r>
        <w:drawing>
          <wp:inline distT="0" distB="0" distL="114300" distR="114300">
            <wp:extent cx="5255895" cy="1778635"/>
            <wp:effectExtent l="0" t="0" r="1905" b="1206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77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E8A0">
      <w:pPr>
        <w:pStyle w:val="168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3-10　补强①：工况条件化与同工况对拍差分的延迟对比</w:t>
      </w:r>
    </w:p>
    <w:p w14:paraId="2FBD7200">
      <w:pPr>
        <w:jc w:val="center"/>
      </w:pPr>
      <w:r>
        <w:drawing>
          <wp:inline distT="0" distB="0" distL="114300" distR="114300">
            <wp:extent cx="5255895" cy="1778635"/>
            <wp:effectExtent l="0" t="0" r="1905" b="1206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77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6DE7F">
      <w:pPr>
        <w:pStyle w:val="168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3-11　跨相位稳健性：三个进水相位结论一致</w:t>
      </w:r>
    </w:p>
    <w:p w14:paraId="5276FD37">
      <w:pPr>
        <w:jc w:val="center"/>
      </w:pPr>
      <w:r>
        <w:drawing>
          <wp:inline distT="0" distB="0" distL="114300" distR="114300">
            <wp:extent cx="5255895" cy="1790700"/>
            <wp:effectExtent l="0" t="0" r="190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79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A914E">
      <w:pPr>
        <w:pStyle w:val="168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3-12　补强②：标定漂移的结构 × 幅度 × 缓解手段</w:t>
      </w:r>
    </w:p>
    <w:tbl>
      <w:tblPr>
        <w:tblStyle w:val="3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2831"/>
        <w:gridCol w:w="2831"/>
      </w:tblGrid>
      <w:tr w14:paraId="3F92E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F0F6FB"/>
          </w:tcPr>
          <w:p w14:paraId="75EB8068">
            <w:pPr>
              <w:spacing w:after="0" w:line="240" w:lineRule="auto"/>
            </w:pPr>
            <w:r>
              <w:rPr>
                <w:rFonts w:ascii="Arial" w:hAnsi="Arial" w:eastAsia="黑体"/>
                <w:b/>
                <w:sz w:val="21"/>
              </w:rPr>
              <w:t>难点</w:t>
            </w:r>
          </w:p>
        </w:tc>
        <w:tc>
          <w:tcPr>
            <w:tcW w:w="1666" w:type="pct"/>
            <w:shd w:val="clear" w:color="auto" w:fill="F0F6FB"/>
          </w:tcPr>
          <w:p w14:paraId="4DA3A920">
            <w:pPr>
              <w:spacing w:after="0" w:line="240" w:lineRule="auto"/>
            </w:pPr>
            <w:r>
              <w:rPr>
                <w:rFonts w:ascii="Arial" w:hAnsi="Arial" w:eastAsia="黑体"/>
                <w:b/>
                <w:sz w:val="21"/>
              </w:rPr>
              <w:t>对策</w:t>
            </w:r>
          </w:p>
        </w:tc>
        <w:tc>
          <w:tcPr>
            <w:tcW w:w="1666" w:type="pct"/>
            <w:shd w:val="clear" w:color="auto" w:fill="F0F6FB"/>
          </w:tcPr>
          <w:p w14:paraId="6A579473">
            <w:pPr>
              <w:spacing w:after="0" w:line="240" w:lineRule="auto"/>
            </w:pPr>
            <w:r>
              <w:rPr>
                <w:rFonts w:ascii="Arial" w:hAnsi="Arial" w:eastAsia="黑体"/>
                <w:b/>
                <w:sz w:val="21"/>
              </w:rPr>
              <w:t>证据</w:t>
            </w:r>
          </w:p>
        </w:tc>
      </w:tr>
      <w:tr w14:paraId="0DE9D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3DCD706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慢漂移 vs 工况漂移混在一起</w:t>
            </w:r>
          </w:p>
        </w:tc>
        <w:tc>
          <w:tcPr>
            <w:tcW w:w="1666" w:type="pct"/>
          </w:tcPr>
          <w:p w14:paraId="448EAD1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双基线并行 → 工况分箱条件化 → 同期同工况对拍差分</w:t>
            </w:r>
          </w:p>
        </w:tc>
        <w:tc>
          <w:tcPr>
            <w:tcW w:w="1666" w:type="pct"/>
          </w:tcPr>
          <w:p w14:paraId="2E33852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图 2-5、图 2-8、图 3-10</w:t>
            </w:r>
          </w:p>
        </w:tc>
      </w:tr>
      <w:tr w14:paraId="5D4FC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0582A70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参考段选不干净</w:t>
            </w:r>
          </w:p>
        </w:tc>
        <w:tc>
          <w:tcPr>
            <w:tcW w:w="1666" w:type="pct"/>
          </w:tcPr>
          <w:p w14:paraId="756F5BA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工具主动检测参考窗趋势并告警；要求多段健康期标定</w:t>
            </w:r>
          </w:p>
        </w:tc>
        <w:tc>
          <w:tcPr>
            <w:tcW w:w="1666" w:type="pct"/>
          </w:tcPr>
          <w:p w14:paraId="0F6CFE4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图 2-5</w:t>
            </w:r>
          </w:p>
        </w:tc>
      </w:tr>
      <w:tr w14:paraId="50785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6A90115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假 RUL（把传感器漂移当设备退化）</w:t>
            </w:r>
          </w:p>
        </w:tc>
        <w:tc>
          <w:tcPr>
            <w:tcW w:w="1666" w:type="pct"/>
          </w:tcPr>
          <w:p w14:paraId="17EF1D3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多源冗余（在线密度计 + 实验室）+ </w:t>
            </w:r>
            <w:r>
              <w:rPr>
                <w:rFonts w:ascii="Times New Roman" w:hAnsi="Times New Roman" w:eastAsia="宋体"/>
                <w:b/>
                <w:sz w:val="21"/>
              </w:rPr>
              <w:t>独立漂移监控</w:t>
            </w:r>
            <w:r>
              <w:rPr>
                <w:rFonts w:ascii="Times New Roman" w:hAnsi="Times New Roman" w:eastAsia="宋体"/>
                <w:b w:val="0"/>
                <w:sz w:val="21"/>
              </w:rPr>
              <w:t>；RUL 只挂机理量且带趋势门控</w:t>
            </w:r>
          </w:p>
        </w:tc>
        <w:tc>
          <w:tcPr>
            <w:tcW w:w="1666" w:type="pct"/>
          </w:tcPr>
          <w:p w14:paraId="6A6FEF2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图 3-12</w:t>
            </w:r>
          </w:p>
        </w:tc>
      </w:tr>
      <w:tr w14:paraId="0ADF6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0874838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判据处在刀锋边缘</w:t>
            </w:r>
          </w:p>
        </w:tc>
        <w:tc>
          <w:tcPr>
            <w:tcW w:w="1666" w:type="pct"/>
          </w:tcPr>
          <w:p w14:paraId="6D99267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明确标注（例：在线门禁分布位置比 1.250487 vs 阈值 1.25），不把边缘结果当稳定性能</w:t>
            </w:r>
          </w:p>
        </w:tc>
        <w:tc>
          <w:tcPr>
            <w:tcW w:w="1666" w:type="pct"/>
          </w:tcPr>
          <w:p w14:paraId="6AA9058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图 3-2</w:t>
            </w:r>
          </w:p>
        </w:tc>
      </w:tr>
      <w:tr w14:paraId="4E378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4545EB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成本无法引用</w:t>
            </w:r>
          </w:p>
        </w:tc>
        <w:tc>
          <w:tcPr>
            <w:tcW w:w="1666" w:type="pct"/>
          </w:tcPr>
          <w:p w14:paraId="62FD9EF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提供可参数化成本模型；</w:t>
            </w:r>
            <w:r>
              <w:rPr>
                <w:rFonts w:ascii="Times New Roman" w:hAnsi="Times New Roman" w:eastAsia="宋体"/>
                <w:b/>
                <w:sz w:val="21"/>
              </w:rPr>
              <w:t>未标定前一律标注占位值</w:t>
            </w:r>
          </w:p>
        </w:tc>
        <w:tc>
          <w:tcPr>
            <w:tcW w:w="1666" w:type="pct"/>
          </w:tcPr>
          <w:p w14:paraId="18456DE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图 3-7</w:t>
            </w:r>
          </w:p>
        </w:tc>
      </w:tr>
    </w:tbl>
    <w:p w14:paraId="27F30FEE">
      <w:pPr>
        <w:pStyle w:val="4"/>
        <w:numPr>
          <w:ilvl w:val="0"/>
          <w:numId w:val="11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</w:rPr>
      </w:pPr>
      <w:bookmarkStart w:id="14" w:name="_Toc5198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实现形态与使用说明</w:t>
      </w:r>
      <w:bookmarkEnd w:id="14"/>
    </w:p>
    <w:p w14:paraId="12DB65C9">
      <w:pPr>
        <w:jc w:val="center"/>
      </w:pPr>
      <w:r>
        <w:drawing>
          <wp:inline distT="0" distB="0" distL="114300" distR="114300">
            <wp:extent cx="5255895" cy="5474970"/>
            <wp:effectExtent l="0" t="0" r="1905" b="1143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54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2A7DA">
      <w:pPr>
        <w:pStyle w:val="168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3-13　本地工作台：上传 CSV → 标定基线 → 出报告（数据不出本机）</w:t>
      </w:r>
    </w:p>
    <w:p w14:paraId="58180D16">
      <w:pPr>
        <w:jc w:val="center"/>
      </w:pPr>
      <w:r>
        <w:drawing>
          <wp:inline distT="0" distB="0" distL="114300" distR="114300">
            <wp:extent cx="5255895" cy="7007860"/>
            <wp:effectExtent l="0" t="0" r="1905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E1C49">
      <w:pPr>
        <w:pStyle w:val="168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3-14　报告·分级告警明细（P1/P2/P3）</w:t>
      </w:r>
    </w:p>
    <w:p w14:paraId="52F3F42C"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7446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7_report_metro_kpi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446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5BE513D">
      <w:pPr>
        <w:pStyle w:val="168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3-15　报告·体检与标定摘要（含参考窗健康度提示）</w:t>
      </w:r>
    </w:p>
    <w:p w14:paraId="504BC516">
      <w:pPr>
        <w:jc w:val="center"/>
      </w:pPr>
    </w:p>
    <w:p w14:paraId="6E3F8D4F">
      <w:pPr>
        <w:jc w:val="center"/>
      </w:pPr>
      <w:r>
        <w:drawing>
          <wp:inline distT="0" distB="0" distL="114300" distR="114300">
            <wp:extent cx="5255895" cy="7445375"/>
            <wp:effectExtent l="0" t="0" r="1905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44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0F9F7">
      <w:pPr>
        <w:pStyle w:val="168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3-16　报告·图表与口径局限</w:t>
      </w:r>
    </w:p>
    <w:p w14:paraId="34B1CA7A">
      <w:pPr>
        <w:jc w:val="center"/>
      </w:pPr>
      <w:r>
        <w:drawing>
          <wp:inline distT="0" distB="0" distL="114300" distR="114300">
            <wp:extent cx="5255895" cy="7299960"/>
            <wp:effectExtent l="0" t="0" r="1905" b="254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4D133">
      <w:pPr>
        <w:pStyle w:val="168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3-17　企业版报告（BSM1 仿真）：相对时间按「第 X 天」呈现</w:t>
      </w:r>
    </w:p>
    <w:p w14:paraId="68327359">
      <w:pPr>
        <w:jc w:val="center"/>
      </w:pPr>
      <w:r>
        <w:drawing>
          <wp:inline distT="0" distB="0" distL="114300" distR="114300">
            <wp:extent cx="5255895" cy="7299960"/>
            <wp:effectExtent l="0" t="0" r="1905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DD0CC">
      <w:pPr>
        <w:pStyle w:val="168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3-18　企业版报告（真实空压机 MetroPT-3）首屏：KPI 与数据体检</w:t>
      </w:r>
    </w:p>
    <w:p w14:paraId="56EC6876">
      <w:pPr>
        <w:jc w:val="center"/>
      </w:pPr>
      <w:r>
        <w:drawing>
          <wp:inline distT="0" distB="0" distL="114300" distR="114300">
            <wp:extent cx="5255895" cy="7299960"/>
            <wp:effectExtent l="0" t="0" r="1905" b="254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9DFD">
      <w:pPr>
        <w:pStyle w:val="168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3-19　十节演示看板全貌（检测到决策的全部结果与口径）</w:t>
      </w:r>
    </w:p>
    <w:p w14:paraId="7F6DAAF7">
      <w:pPr>
        <w:jc w:val="center"/>
      </w:pPr>
      <w:r>
        <w:drawing>
          <wp:inline distT="0" distB="0" distL="114300" distR="114300">
            <wp:extent cx="5255895" cy="7664450"/>
            <wp:effectExtent l="0" t="0" r="1905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6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C69A6">
      <w:pPr>
        <w:pStyle w:val="168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3-20　看板·检测节：双基线分数、阈值与告警等级</w:t>
      </w:r>
    </w:p>
    <w:p w14:paraId="39F0718C">
      <w:pPr>
        <w:jc w:val="center"/>
      </w:pPr>
      <w:r>
        <w:drawing>
          <wp:inline distT="0" distB="0" distL="114300" distR="114300">
            <wp:extent cx="5255895" cy="8172450"/>
            <wp:effectExtent l="0" t="0" r="1905" b="63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817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BAAC4">
      <w:pPr>
        <w:pStyle w:val="168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3-21　看板·数字孪生节：退化轨迹与检测/RUL</w:t>
      </w:r>
    </w:p>
    <w:p w14:paraId="5BD48992">
      <w:pPr>
        <w:jc w:val="center"/>
      </w:pPr>
      <w:r>
        <w:drawing>
          <wp:inline distT="0" distB="0" distL="114300" distR="114300">
            <wp:extent cx="5255895" cy="9705975"/>
            <wp:effectExtent l="0" t="0" r="1905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970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C921C">
      <w:pPr>
        <w:pStyle w:val="168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3-22　看板·整厂闭环节（路线 B）：原始量 vs 设备级比值通道</w:t>
      </w:r>
    </w:p>
    <w:p w14:paraId="54B61EE2">
      <w:pPr>
        <w:jc w:val="center"/>
      </w:pPr>
      <w:r>
        <w:drawing>
          <wp:inline distT="0" distB="0" distL="114300" distR="114300">
            <wp:extent cx="5255895" cy="5474970"/>
            <wp:effectExtent l="0" t="0" r="1905" b="1143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54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44BF7">
      <w:pPr>
        <w:pStyle w:val="168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3-23　交互式数字孪生演示台（静态版）</w:t>
      </w:r>
    </w:p>
    <w:p w14:paraId="4DBD9892">
      <w:pPr>
        <w:jc w:val="center"/>
      </w:pPr>
      <w:r>
        <w:drawing>
          <wp:inline distT="0" distB="0" distL="114300" distR="114300">
            <wp:extent cx="5255895" cy="8028305"/>
            <wp:effectExtent l="0" t="0" r="1905" b="1079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802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884CA">
      <w:pPr>
        <w:pStyle w:val="168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3-24　动画演示台：健康/退化两条轨迹回放</w:t>
      </w:r>
    </w:p>
    <w:p w14:paraId="74E2B5F4">
      <w:pPr>
        <w:jc w:val="center"/>
      </w:pPr>
      <w:r>
        <w:drawing>
          <wp:inline distT="0" distB="0" distL="114300" distR="114300">
            <wp:extent cx="5255895" cy="1528445"/>
            <wp:effectExtent l="0" t="0" r="1905" b="825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52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FC07">
      <w:pPr>
        <w:pStyle w:val="168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3-25　现场试点（POC）四步走</w:t>
      </w:r>
    </w:p>
    <w:p w14:paraId="0E5C074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本节插图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：本地工作台（图 3-13）；报告的告警明细、体检摘要与口径局限（图 3-14、图 3-15、图 3-16）；两份成品报告（图 3-17、图 3-18）；线上看板全貌（图 3-19）与看板中的检测、孪生、整厂闭环三节（图 3-20、图 3-21、图 3-22）；交互式数字孪生演示台（图 3-23）与动画演示台（图 3-24）；现场试点四步（图 3-25）。</w:t>
      </w:r>
    </w:p>
    <w:p w14:paraId="5B34FFCF">
      <w:pPr>
        <w:pStyle w:val="5"/>
        <w:widowControl/>
        <w:numPr>
          <w:ilvl w:val="0"/>
          <w:numId w:val="13"/>
        </w:numPr>
        <w:ind w:left="0" w:leftChars="0" w:firstLine="0" w:firstLineChars="0"/>
        <w:rPr>
          <w:rFonts w:eastAsia="黑体"/>
          <w:b w:val="0"/>
          <w:bCs w:val="0"/>
          <w:sz w:val="30"/>
          <w:szCs w:val="24"/>
        </w:rPr>
      </w:pPr>
      <w:bookmarkStart w:id="15" w:name="_Toc9657"/>
      <w:r>
        <w:rPr>
          <w:rFonts w:ascii="Times New Roman" w:hAnsi="Times New Roman" w:eastAsia="黑体" w:cs="Times New Roman"/>
          <w:b w:val="0"/>
          <w:bCs w:val="0"/>
          <w:sz w:val="30"/>
          <w:szCs w:val="24"/>
        </w:rPr>
        <w:t>三种上手方式（Windows / PowerShell 实测）</w:t>
      </w:r>
      <w:bookmarkEnd w:id="15"/>
    </w:p>
    <w:p w14:paraId="0DDA24E5">
      <w:pPr>
        <w:pStyle w:val="19"/>
        <w:widowControl/>
        <w:numPr>
          <w:ilvl w:val="0"/>
          <w:numId w:val="14"/>
        </w:numPr>
        <w:ind w:left="0" w:leftChars="0" w:firstLine="480" w:firstLineChars="0"/>
        <w:rPr>
          <w:rFonts w:eastAsia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双击仓库根目录的 </w:t>
      </w:r>
      <w:r>
        <w:rPr>
          <w:rFonts w:ascii="Times New Roman" w:hAnsi="Times New Roman" w:eastAsia="宋体" w:cs="Times New Roman"/>
          <w:b/>
          <w:sz w:val="24"/>
          <w:szCs w:val="24"/>
        </w:rPr>
        <w:t>start_lanmai.cmd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（自动起本地工作台并打开浏览器）；</w:t>
      </w:r>
    </w:p>
    <w:p w14:paraId="0B174F4D">
      <w:pPr>
        <w:pStyle w:val="19"/>
        <w:widowControl/>
        <w:numPr>
          <w:ilvl w:val="0"/>
          <w:numId w:val="14"/>
        </w:numPr>
        <w:ind w:left="0" w:leftChars="0" w:firstLine="480" w:firstLineChars="0"/>
        <w:rPr>
          <w:rFonts w:eastAsia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命令行：进入项目目录后运行 </w:t>
      </w:r>
      <w:r>
        <w:rPr>
          <w:rFonts w:ascii="Times New Roman" w:hAnsi="Times New Roman" w:eastAsia="宋体" w:cs="Times New Roman"/>
          <w:b/>
          <w:sz w:val="24"/>
          <w:szCs w:val="24"/>
        </w:rPr>
        <w:t>python run_lanmai.py serve --open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（无需配置任何环境变量）；</w:t>
      </w:r>
    </w:p>
    <w:p w14:paraId="037B9A06">
      <w:pPr>
        <w:pStyle w:val="19"/>
        <w:widowControl/>
        <w:numPr>
          <w:ilvl w:val="0"/>
          <w:numId w:val="14"/>
        </w:numPr>
        <w:ind w:left="0" w:leftChars="0" w:firstLine="480" w:firstLineChars="0"/>
        <w:rPr>
          <w:rFonts w:eastAsia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（可选）安装成工具：</w:t>
      </w:r>
      <w:r>
        <w:rPr>
          <w:rFonts w:ascii="Times New Roman" w:hAnsi="Times New Roman" w:eastAsia="宋体" w:cs="Times New Roman"/>
          <w:b/>
          <w:sz w:val="24"/>
          <w:szCs w:val="24"/>
        </w:rPr>
        <w:t>python -m pip install -e . --no-build-isolation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，之后任何目录都能用 </w:t>
      </w:r>
      <w:r>
        <w:rPr>
          <w:rFonts w:ascii="Times New Roman" w:hAnsi="Times New Roman" w:eastAsia="宋体" w:cs="Times New Roman"/>
          <w:b/>
          <w:sz w:val="24"/>
          <w:szCs w:val="24"/>
        </w:rPr>
        <w:t>python -m lanmai ...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 或 </w:t>
      </w:r>
      <w:r>
        <w:rPr>
          <w:rFonts w:ascii="Times New Roman" w:hAnsi="Times New Roman" w:eastAsia="宋体" w:cs="Times New Roman"/>
          <w:b/>
          <w:sz w:val="24"/>
          <w:szCs w:val="24"/>
        </w:rPr>
        <w:t>lanmai ...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。</w:t>
      </w:r>
    </w:p>
    <w:p w14:paraId="7568DE9E">
      <w:pPr>
        <w:pStyle w:val="5"/>
        <w:widowControl/>
        <w:numPr>
          <w:ilvl w:val="0"/>
          <w:numId w:val="13"/>
        </w:numPr>
        <w:ind w:left="0" w:leftChars="0" w:firstLine="0" w:firstLineChars="0"/>
        <w:rPr>
          <w:rFonts w:eastAsia="黑体"/>
          <w:b w:val="0"/>
          <w:bCs w:val="0"/>
          <w:sz w:val="30"/>
          <w:szCs w:val="24"/>
        </w:rPr>
      </w:pPr>
      <w:bookmarkStart w:id="16" w:name="_Toc29584"/>
      <w:r>
        <w:rPr>
          <w:rFonts w:ascii="Times New Roman" w:hAnsi="Times New Roman" w:eastAsia="黑体" w:cs="Times New Roman"/>
          <w:b w:val="0"/>
          <w:bCs w:val="0"/>
          <w:sz w:val="30"/>
          <w:szCs w:val="24"/>
        </w:rPr>
        <w:t>命令参考</w:t>
      </w:r>
      <w:bookmarkEnd w:id="16"/>
    </w:p>
    <w:tbl>
      <w:tblPr>
        <w:tblStyle w:val="3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2831"/>
        <w:gridCol w:w="2831"/>
      </w:tblGrid>
      <w:tr w14:paraId="6486D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F0F6FB"/>
          </w:tcPr>
          <w:p w14:paraId="4BEFB42E">
            <w:pPr>
              <w:spacing w:after="0" w:line="240" w:lineRule="auto"/>
            </w:pPr>
            <w:r>
              <w:rPr>
                <w:rFonts w:ascii="Arial" w:hAnsi="Arial" w:eastAsia="黑体"/>
                <w:b/>
                <w:sz w:val="21"/>
              </w:rPr>
              <w:t>命令</w:t>
            </w:r>
          </w:p>
        </w:tc>
        <w:tc>
          <w:tcPr>
            <w:tcW w:w="1666" w:type="pct"/>
            <w:shd w:val="clear" w:color="auto" w:fill="F0F6FB"/>
          </w:tcPr>
          <w:p w14:paraId="23A1F30B">
            <w:pPr>
              <w:spacing w:after="0" w:line="240" w:lineRule="auto"/>
            </w:pPr>
            <w:r>
              <w:rPr>
                <w:rFonts w:ascii="Arial" w:hAnsi="Arial" w:eastAsia="黑体"/>
                <w:b/>
                <w:sz w:val="21"/>
              </w:rPr>
              <w:t>做什么</w:t>
            </w:r>
          </w:p>
        </w:tc>
        <w:tc>
          <w:tcPr>
            <w:tcW w:w="1666" w:type="pct"/>
            <w:shd w:val="clear" w:color="auto" w:fill="F0F6FB"/>
          </w:tcPr>
          <w:p w14:paraId="3E5168E5">
            <w:pPr>
              <w:spacing w:after="0" w:line="240" w:lineRule="auto"/>
            </w:pPr>
            <w:r>
              <w:rPr>
                <w:rFonts w:ascii="Arial" w:hAnsi="Arial" w:eastAsia="黑体"/>
                <w:b/>
                <w:sz w:val="21"/>
              </w:rPr>
              <w:t>常用参数</w:t>
            </w:r>
          </w:p>
        </w:tc>
      </w:tr>
      <w:tr w14:paraId="31889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7E9BA82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lanmai inspect</w:t>
            </w:r>
          </w:p>
        </w:tc>
        <w:tc>
          <w:tcPr>
            <w:tcW w:w="1666" w:type="pct"/>
          </w:tcPr>
          <w:p w14:paraId="341DDBA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数据体检：行数、采样间隔、缺失率、零方差通道、通道统计</w:t>
            </w:r>
          </w:p>
        </w:tc>
        <w:tc>
          <w:tcPr>
            <w:tcW w:w="1666" w:type="pct"/>
          </w:tcPr>
          <w:p w14:paraId="7018958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--data --time --resample --channels --out</w:t>
            </w:r>
          </w:p>
        </w:tc>
      </w:tr>
      <w:tr w14:paraId="229E6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06131A0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lanmai calibrate</w:t>
            </w:r>
          </w:p>
        </w:tc>
        <w:tc>
          <w:tcPr>
            <w:tcW w:w="1666" w:type="pct"/>
          </w:tcPr>
          <w:p w14:paraId="0321F5C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健康期标定：冻结基线 + 工况分层 + 阈值（支持多段）</w:t>
            </w:r>
          </w:p>
        </w:tc>
        <w:tc>
          <w:tcPr>
            <w:tcW w:w="1666" w:type="pct"/>
          </w:tcPr>
          <w:p w14:paraId="016894B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--state {none,hour,col,quantile} --state-col --ref --ref-segments --thr-policy {median,upper} --q</w:t>
            </w:r>
          </w:p>
        </w:tc>
      </w:tr>
      <w:tr w14:paraId="762AB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496590F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lanmai watch</w:t>
            </w:r>
          </w:p>
        </w:tc>
        <w:tc>
          <w:tcPr>
            <w:tcW w:w="1666" w:type="pct"/>
          </w:tcPr>
          <w:p w14:paraId="600E2C9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输出分级告警流</w:t>
            </w:r>
          </w:p>
        </w:tc>
        <w:tc>
          <w:tcPr>
            <w:tcW w:w="1666" w:type="pct"/>
          </w:tcPr>
          <w:p w14:paraId="4F069E5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--baseline --out --warmup</w:t>
            </w:r>
          </w:p>
        </w:tc>
      </w:tr>
      <w:tr w14:paraId="1F51F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EF0E79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lanmai report</w:t>
            </w:r>
          </w:p>
        </w:tc>
        <w:tc>
          <w:tcPr>
            <w:tcW w:w="1666" w:type="pct"/>
          </w:tcPr>
          <w:p w14:paraId="5509577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生成企业版报告（单文件 HTML）</w:t>
            </w:r>
          </w:p>
        </w:tc>
        <w:tc>
          <w:tcPr>
            <w:tcW w:w="1666" w:type="pct"/>
          </w:tcPr>
          <w:p w14:paraId="261C74C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--baseline --out --warmup --resample --max-alarms --no-fig</w:t>
            </w:r>
          </w:p>
        </w:tc>
      </w:tr>
      <w:tr w14:paraId="7BF40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46C4960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lanmai serve</w:t>
            </w:r>
          </w:p>
        </w:tc>
        <w:tc>
          <w:tcPr>
            <w:tcW w:w="1666" w:type="pct"/>
          </w:tcPr>
          <w:p w14:paraId="62AD0A0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本地工作台（浏览器上传 CSV）</w:t>
            </w:r>
          </w:p>
        </w:tc>
        <w:tc>
          <w:tcPr>
            <w:tcW w:w="1666" w:type="pct"/>
          </w:tcPr>
          <w:p w14:paraId="68BC882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--host --port --out-dir --demo-dir --open</w:t>
            </w:r>
          </w:p>
        </w:tc>
      </w:tr>
      <w:tr w14:paraId="1D436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E3C302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lanmai selftest</w:t>
            </w:r>
          </w:p>
        </w:tc>
        <w:tc>
          <w:tcPr>
            <w:tcW w:w="1666" w:type="pct"/>
          </w:tcPr>
          <w:p w14:paraId="7ABF36E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冒烟自检（合成阶跃 + 慢漂移 + 回归检查）</w:t>
            </w:r>
          </w:p>
        </w:tc>
        <w:tc>
          <w:tcPr>
            <w:tcW w:w="1666" w:type="pct"/>
          </w:tcPr>
          <w:p w14:paraId="138513D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</w:tbl>
    <w:p w14:paraId="39369AA4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具体调用示例（四步）：</w:t>
      </w:r>
    </w:p>
    <w:p w14:paraId="731B56E5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python -m lanmai inspect   --data 现场导出.csv</w:t>
      </w:r>
    </w:p>
    <w:p w14:paraId="4C3BBD65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python -m lanmai calibrate --data 健康期.csv --out baseline.json --state hour --ref 0,0.3</w:t>
      </w:r>
    </w:p>
    <w:p w14:paraId="1F80693B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python -m lanmai watch     --data 待监测.csv --baseline baseline.json --out alarms.csv --warmup 1D</w:t>
      </w:r>
    </w:p>
    <w:p w14:paraId="7D526965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python -m lanmai report    --data 待监测.csv --baseline baseline.json --out report.html --warmup 1D</w:t>
      </w:r>
    </w:p>
    <w:p w14:paraId="6A16A0AC">
      <w:pPr>
        <w:pStyle w:val="5"/>
        <w:widowControl/>
        <w:numPr>
          <w:ilvl w:val="0"/>
          <w:numId w:val="13"/>
        </w:numPr>
        <w:ind w:left="0" w:leftChars="0" w:firstLine="0" w:firstLineChars="0"/>
        <w:rPr>
          <w:rFonts w:eastAsia="黑体"/>
          <w:b w:val="0"/>
          <w:bCs w:val="0"/>
          <w:sz w:val="30"/>
          <w:szCs w:val="24"/>
        </w:rPr>
      </w:pPr>
      <w:bookmarkStart w:id="17" w:name="_Toc14193"/>
      <w:r>
        <w:rPr>
          <w:rFonts w:ascii="Times New Roman" w:hAnsi="Times New Roman" w:eastAsia="黑体" w:cs="Times New Roman"/>
          <w:b w:val="0"/>
          <w:bCs w:val="0"/>
          <w:sz w:val="30"/>
          <w:szCs w:val="24"/>
        </w:rPr>
        <w:t>本地工作台六步操作（图 3-13）</w:t>
      </w:r>
      <w:bookmarkEnd w:id="17"/>
    </w:p>
    <w:p w14:paraId="118D3EA8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10.启动工作台并打开浏览器；2. 上传「健康期数据」→ 选工况分层与参考段 → 生成 baseline.json；3. 上传「待监测数据」+ baseline.json → 生成 report.html；4. 浏览器直接打开报告；5. 在「产物列表」里下载明细；6.（可选）点「样例一键试跑」验证环境。</w:t>
      </w:r>
    </w:p>
    <w:p w14:paraId="63D0CCBD">
      <w:pPr>
        <w:pStyle w:val="5"/>
        <w:widowControl/>
        <w:numPr>
          <w:ilvl w:val="0"/>
          <w:numId w:val="13"/>
        </w:numPr>
        <w:ind w:left="0" w:leftChars="0" w:firstLine="0" w:firstLineChars="0"/>
        <w:rPr>
          <w:rFonts w:eastAsia="黑体"/>
          <w:b w:val="0"/>
          <w:bCs w:val="0"/>
          <w:sz w:val="30"/>
          <w:szCs w:val="24"/>
        </w:rPr>
      </w:pPr>
      <w:bookmarkStart w:id="18" w:name="_Toc2194"/>
      <w:r>
        <w:rPr>
          <w:rFonts w:ascii="Times New Roman" w:hAnsi="Times New Roman" w:eastAsia="黑体" w:cs="Times New Roman"/>
          <w:b w:val="0"/>
          <w:bCs w:val="0"/>
          <w:sz w:val="30"/>
          <w:szCs w:val="24"/>
        </w:rPr>
        <w:t>现场接入需要的数据字段</w:t>
      </w:r>
      <w:bookmarkEnd w:id="18"/>
    </w:p>
    <w:tbl>
      <w:tblPr>
        <w:tblStyle w:val="3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2831"/>
        <w:gridCol w:w="2831"/>
      </w:tblGrid>
      <w:tr w14:paraId="12783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6" w:type="pct"/>
            <w:shd w:val="clear" w:color="auto" w:fill="F0F6FB"/>
          </w:tcPr>
          <w:p w14:paraId="3ED4F3F4">
            <w:pPr>
              <w:spacing w:after="0" w:line="240" w:lineRule="auto"/>
            </w:pPr>
            <w:r>
              <w:rPr>
                <w:rFonts w:ascii="Arial" w:hAnsi="Arial" w:eastAsia="黑体"/>
                <w:b/>
                <w:sz w:val="21"/>
              </w:rPr>
              <w:t>类别</w:t>
            </w:r>
          </w:p>
        </w:tc>
        <w:tc>
          <w:tcPr>
            <w:tcW w:w="1666" w:type="pct"/>
            <w:shd w:val="clear" w:color="auto" w:fill="F0F6FB"/>
          </w:tcPr>
          <w:p w14:paraId="5F57B3E4">
            <w:pPr>
              <w:spacing w:after="0" w:line="240" w:lineRule="auto"/>
            </w:pPr>
            <w:r>
              <w:rPr>
                <w:rFonts w:ascii="Arial" w:hAnsi="Arial" w:eastAsia="黑体"/>
                <w:b/>
                <w:sz w:val="21"/>
              </w:rPr>
              <w:t>必需</w:t>
            </w:r>
          </w:p>
        </w:tc>
        <w:tc>
          <w:tcPr>
            <w:tcW w:w="1666" w:type="pct"/>
            <w:shd w:val="clear" w:color="auto" w:fill="F0F6FB"/>
          </w:tcPr>
          <w:p w14:paraId="71CA7FD7">
            <w:pPr>
              <w:spacing w:after="0" w:line="240" w:lineRule="auto"/>
            </w:pPr>
            <w:r>
              <w:rPr>
                <w:rFonts w:ascii="Arial" w:hAnsi="Arial" w:eastAsia="黑体"/>
                <w:b/>
                <w:sz w:val="21"/>
              </w:rPr>
              <w:t>可选（有则更好）</w:t>
            </w:r>
          </w:p>
        </w:tc>
      </w:tr>
      <w:tr w14:paraId="7F453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0F625EB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时间</w:t>
            </w:r>
          </w:p>
        </w:tc>
        <w:tc>
          <w:tcPr>
            <w:tcW w:w="1666" w:type="pct"/>
          </w:tcPr>
          <w:p w14:paraId="4064FEB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时间戳列（可自动识别；支持等间隔数值时间）</w:t>
            </w:r>
          </w:p>
        </w:tc>
        <w:tc>
          <w:tcPr>
            <w:tcW w:w="1666" w:type="pct"/>
          </w:tcPr>
          <w:p w14:paraId="4D6A4AC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 w14:paraId="56382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3DEC849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模拟量</w:t>
            </w:r>
          </w:p>
        </w:tc>
        <w:tc>
          <w:tcPr>
            <w:tcW w:w="1666" w:type="pct"/>
          </w:tcPr>
          <w:p w14:paraId="191553A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电流/功率、温度（轴承/绕组/油温）、压力/流量、转速或开停状态，至少 3–5 个通道</w:t>
            </w:r>
          </w:p>
        </w:tc>
        <w:tc>
          <w:tcPr>
            <w:tcW w:w="1666" w:type="pct"/>
          </w:tcPr>
          <w:p w14:paraId="3B5D1A6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振动、导叶/变频开度、密度</w:t>
            </w:r>
          </w:p>
        </w:tc>
      </w:tr>
      <w:tr w14:paraId="42BE9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4D16F7E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状态列</w:t>
            </w:r>
          </w:p>
        </w:tc>
        <w:tc>
          <w:tcPr>
            <w:tcW w:w="1666" w:type="pct"/>
          </w:tcPr>
          <w:p w14:paraId="71BC41B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有则按工况分层（强烈建议）</w:t>
            </w:r>
          </w:p>
        </w:tc>
        <w:tc>
          <w:tcPr>
            <w:tcW w:w="1666" w:type="pct"/>
          </w:tcPr>
          <w:p w14:paraId="2C115B2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 w14:paraId="0D1D1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2CB7F79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台账</w:t>
            </w:r>
          </w:p>
        </w:tc>
        <w:tc>
          <w:tcPr>
            <w:tcW w:w="1666" w:type="pct"/>
          </w:tcPr>
          <w:p w14:paraId="5C02A78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故障/报警记录（时间、部件、现象、处理方式、停机时长）、检修与更换记录</w:t>
            </w:r>
          </w:p>
        </w:tc>
        <w:tc>
          <w:tcPr>
            <w:tcW w:w="1666" w:type="pct"/>
          </w:tcPr>
          <w:p w14:paraId="35FF910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备件与工时、成本口径</w:t>
            </w:r>
          </w:p>
        </w:tc>
      </w:tr>
    </w:tbl>
    <w:p w14:paraId="3F39DAAB">
      <w:pPr>
        <w:pStyle w:val="5"/>
        <w:widowControl/>
        <w:numPr>
          <w:ilvl w:val="0"/>
          <w:numId w:val="13"/>
        </w:numPr>
        <w:ind w:left="0" w:leftChars="0" w:firstLine="0" w:firstLineChars="0"/>
        <w:rPr>
          <w:rFonts w:eastAsia="黑体"/>
          <w:b w:val="0"/>
          <w:bCs w:val="0"/>
          <w:sz w:val="30"/>
          <w:szCs w:val="24"/>
        </w:rPr>
      </w:pPr>
      <w:bookmarkStart w:id="19" w:name="_Toc4118"/>
      <w:r>
        <w:rPr>
          <w:rFonts w:ascii="Times New Roman" w:hAnsi="Times New Roman" w:eastAsia="黑体" w:cs="Times New Roman"/>
          <w:b w:val="0"/>
          <w:bCs w:val="0"/>
          <w:sz w:val="30"/>
          <w:szCs w:val="24"/>
        </w:rPr>
        <w:t>现场接入的 POC 四步（图 3-25）</w:t>
      </w:r>
      <w:bookmarkEnd w:id="19"/>
    </w:p>
    <w:p w14:paraId="742106A0">
      <w:pPr>
        <w:pStyle w:val="19"/>
        <w:widowControl/>
        <w:numPr>
          <w:ilvl w:val="0"/>
          <w:numId w:val="15"/>
        </w:numPr>
        <w:ind w:left="0" w:leftChars="0" w:firstLine="480" w:firstLineChars="0"/>
        <w:rPr>
          <w:rFonts w:eastAsia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选 </w:t>
      </w:r>
      <w:r>
        <w:rPr>
          <w:rFonts w:ascii="Times New Roman" w:hAnsi="Times New Roman" w:eastAsia="宋体" w:cs="Times New Roman"/>
          <w:b/>
          <w:sz w:val="24"/>
          <w:szCs w:val="24"/>
        </w:rPr>
        <w:t>1 台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设备（建议鼓风机 / 脱水机 / 泵），取 </w:t>
      </w:r>
      <w:r>
        <w:rPr>
          <w:rFonts w:ascii="Times New Roman" w:hAnsi="Times New Roman" w:eastAsia="宋体" w:cs="Times New Roman"/>
          <w:b/>
          <w:sz w:val="24"/>
          <w:szCs w:val="24"/>
        </w:rPr>
        <w:t>≥12 个月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历史数据 + 检修台账；</w:t>
      </w:r>
    </w:p>
    <w:p w14:paraId="1C9D8936">
      <w:pPr>
        <w:pStyle w:val="19"/>
        <w:widowControl/>
        <w:numPr>
          <w:ilvl w:val="0"/>
          <w:numId w:val="15"/>
        </w:numPr>
        <w:ind w:left="0" w:leftChars="0" w:firstLine="480" w:firstLineChars="0"/>
        <w:rPr>
          <w:rFonts w:eastAsia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用</w:t>
      </w:r>
      <w:r>
        <w:rPr>
          <w:rFonts w:ascii="Times New Roman" w:hAnsi="Times New Roman" w:eastAsia="宋体" w:cs="Times New Roman"/>
          <w:b/>
          <w:sz w:val="24"/>
          <w:szCs w:val="24"/>
        </w:rPr>
        <w:t>不含故障的历史段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标定基线（工具会告警参考段是否有趋势，需现场确认该段确无检修/故障）；</w:t>
      </w:r>
    </w:p>
    <w:p w14:paraId="6B794BAF">
      <w:pPr>
        <w:pStyle w:val="19"/>
        <w:widowControl/>
        <w:numPr>
          <w:ilvl w:val="0"/>
          <w:numId w:val="15"/>
        </w:numPr>
        <w:ind w:left="0" w:leftChars="0" w:firstLine="480" w:firstLineChars="0"/>
        <w:rPr>
          <w:rFonts w:eastAsia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用</w:t>
      </w:r>
      <w:r>
        <w:rPr>
          <w:rFonts w:ascii="Times New Roman" w:hAnsi="Times New Roman" w:eastAsia="宋体" w:cs="Times New Roman"/>
          <w:b/>
          <w:sz w:val="24"/>
          <w:szCs w:val="24"/>
        </w:rPr>
        <w:t>含故障的历史段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回放验证：对比「首报时间」与「台账真实故障时间」，算</w:t>
      </w:r>
      <w:r>
        <w:rPr>
          <w:rFonts w:ascii="Times New Roman" w:hAnsi="Times New Roman" w:eastAsia="宋体" w:cs="Times New Roman"/>
          <w:b/>
          <w:sz w:val="24"/>
          <w:szCs w:val="24"/>
        </w:rPr>
        <w:t>提前量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与</w:t>
      </w:r>
      <w:r>
        <w:rPr>
          <w:rFonts w:ascii="Times New Roman" w:hAnsi="Times New Roman" w:eastAsia="宋体" w:cs="Times New Roman"/>
          <w:b/>
          <w:sz w:val="24"/>
          <w:szCs w:val="24"/>
        </w:rPr>
        <w:t>误报数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；</w:t>
      </w:r>
    </w:p>
    <w:p w14:paraId="2039FD11">
      <w:pPr>
        <w:pStyle w:val="19"/>
        <w:widowControl/>
        <w:numPr>
          <w:ilvl w:val="0"/>
          <w:numId w:val="15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通过后进入在线运行：P1 立即处置 / P2 复核排计划 / P3 趋势观察；每月出报告，季度复盘并逐步扩设备。</w:t>
      </w:r>
    </w:p>
    <w:p w14:paraId="394B536B"/>
    <w:p w14:paraId="54E91942">
      <w:pPr>
        <w:pStyle w:val="3"/>
        <w:numPr>
          <w:ilvl w:val="0"/>
          <w:numId w:val="7"/>
        </w:numPr>
        <w:ind w:left="0" w:leftChars="0" w:firstLine="0" w:firstLineChars="0"/>
        <w:rPr>
          <w:rFonts w:eastAsia="黑体"/>
          <w:b w:val="0"/>
          <w:bCs w:val="0"/>
          <w:sz w:val="32"/>
          <w:szCs w:val="44"/>
        </w:rPr>
      </w:pPr>
      <w:bookmarkStart w:id="20" w:name="_Toc21825"/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价值、潜力及影响</w:t>
      </w:r>
      <w:bookmarkEnd w:id="20"/>
    </w:p>
    <w:p w14:paraId="002C3BF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技术价值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：把「预测性维护」从概念变成</w:t>
      </w:r>
      <w:r>
        <w:rPr>
          <w:rFonts w:ascii="Times New Roman" w:hAnsi="Times New Roman" w:eastAsia="宋体" w:cs="Times New Roman"/>
          <w:b/>
          <w:sz w:val="24"/>
          <w:szCs w:val="24"/>
        </w:rPr>
        <w:t>可离线部署、可现场标定、可核查数字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的工程工具；七条设计原则与四轮跨实现复核，为同类项目提供了可复用的方法学。</w:t>
      </w:r>
    </w:p>
    <w:p w14:paraId="7497C215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社会价值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：① 减少非计划停机与溢流风险，提高污水处理稳定性；② 污泥处置合规（泥饼含固率不达标场景有明确提前预警）；③ 与「双碳」方向一致 —— 按状态维护可减少备件与能耗浪费；④ </w:t>
      </w:r>
      <w:r>
        <w:rPr>
          <w:rFonts w:ascii="Times New Roman" w:hAnsi="Times New Roman" w:eastAsia="宋体" w:cs="Times New Roman"/>
          <w:b/>
          <w:sz w:val="24"/>
          <w:szCs w:val="24"/>
        </w:rPr>
        <w:t>不需要新增传感器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，不增加现场改造负担与电子垃圾。</w:t>
      </w:r>
    </w:p>
    <w:p w14:paraId="3783802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经济价值（潜力）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：面向污水厂的</w:t>
      </w:r>
      <w:r>
        <w:rPr>
          <w:rFonts w:ascii="Times New Roman" w:hAnsi="Times New Roman" w:eastAsia="宋体" w:cs="Times New Roman"/>
          <w:b/>
          <w:sz w:val="24"/>
          <w:szCs w:val="24"/>
        </w:rPr>
        <w:t>软件订阅 + 接入标定服务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；单厂按关键设备数计价，轻资产、不垫资。</w:t>
      </w:r>
      <w:bookmarkStart w:id="21" w:name="_GoBack"/>
      <w:bookmarkEnd w:id="21"/>
    </w:p>
    <w:p w14:paraId="4DA2326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推广路径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：① 单厂单设备试点（3–6 个月）→ ② 单厂多设备（鼓风机 / 脱水机 / 泵）→ ③ 集团多厂复制（阈值与工况分层可按厂标定）→ ④ 横向扩展到供水厂与排水管网泵站（同一套「双基线 + 工况条件化 + 机理 RUL」框架）。</w:t>
      </w:r>
    </w:p>
    <w:p w14:paraId="6F76C06C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影响与局限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污水厂侧结论均来自机理仿真；真实设备目前只有水泵台架与地铁空压机；浓缩/脱水为理想单元（无堵塞、无动力学）；成本参数为占位值；诊断跨故障尺寸精度有限；未覆盖相关漂移与多传感器联合漂移；判据存在刀锋边缘情形。</w:t>
      </w:r>
    </w:p>
    <w:p w14:paraId="4B429A56"/>
    <w:p w14:paraId="52230958"/>
    <w:sectPr>
      <w:pgSz w:w="11906" w:h="16838"/>
      <w:pgMar w:top="1417" w:right="1814" w:bottom="1417" w:left="181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879477"/>
    <w:multiLevelType w:val="singleLevel"/>
    <w:tmpl w:val="80879477"/>
    <w:lvl w:ilvl="0" w:tentative="0">
      <w:start w:val="1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">
    <w:nsid w:val="82A79C29"/>
    <w:multiLevelType w:val="singleLevel"/>
    <w:tmpl w:val="82A79C29"/>
    <w:lvl w:ilvl="0" w:tentative="0">
      <w:start w:val="1"/>
      <w:numFmt w:val="upperLetter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">
    <w:nsid w:val="93534296"/>
    <w:multiLevelType w:val="singleLevel"/>
    <w:tmpl w:val="93534296"/>
    <w:lvl w:ilvl="0" w:tentative="0">
      <w:start w:val="1"/>
      <w:numFmt w:val="decimal"/>
      <w:suff w:val="space"/>
      <w:lvlText w:val="2.%1"/>
      <w:lvlJc w:val="left"/>
      <w:pPr>
        <w:ind w:left="0" w:firstLine="0"/>
      </w:pPr>
      <w:rPr>
        <w:rFonts w:hint="default"/>
      </w:rPr>
    </w:lvl>
  </w:abstractNum>
  <w:abstractNum w:abstractNumId="3">
    <w:nsid w:val="B8F26838"/>
    <w:multiLevelType w:val="singleLevel"/>
    <w:tmpl w:val="B8F26838"/>
    <w:lvl w:ilvl="0" w:tentative="0">
      <w:start w:val="1"/>
      <w:numFmt w:val="decimal"/>
      <w:suff w:val="space"/>
      <w:lvlText w:val="2.2.%1"/>
      <w:lvlJc w:val="left"/>
      <w:pPr>
        <w:ind w:left="0" w:firstLine="0"/>
      </w:pPr>
      <w:rPr>
        <w:rFonts w:hint="default"/>
      </w:r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28E675A6"/>
    <w:multiLevelType w:val="singleLevel"/>
    <w:tmpl w:val="28E675A6"/>
    <w:lvl w:ilvl="0" w:tentative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11">
    <w:nsid w:val="40BC62C9"/>
    <w:multiLevelType w:val="singleLevel"/>
    <w:tmpl w:val="40BC62C9"/>
    <w:lvl w:ilvl="0" w:tentative="0">
      <w:start w:val="7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2">
    <w:nsid w:val="40BF765B"/>
    <w:multiLevelType w:val="singleLevel"/>
    <w:tmpl w:val="40BF765B"/>
    <w:lvl w:ilvl="0" w:tentative="0">
      <w:start w:val="1"/>
      <w:numFmt w:val="decimalEnclosedCircleChinese"/>
      <w:suff w:val="space"/>
      <w:lvlText w:val="%1"/>
      <w:lvlJc w:val="left"/>
      <w:pPr>
        <w:ind w:left="0" w:firstLine="482"/>
      </w:pPr>
      <w:rPr>
        <w:rFonts w:hint="eastAsia"/>
      </w:rPr>
    </w:lvl>
  </w:abstractNum>
  <w:abstractNum w:abstractNumId="13">
    <w:nsid w:val="62EA2F53"/>
    <w:multiLevelType w:val="singleLevel"/>
    <w:tmpl w:val="62EA2F53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4">
    <w:nsid w:val="7AB28828"/>
    <w:multiLevelType w:val="singleLevel"/>
    <w:tmpl w:val="7AB28828"/>
    <w:lvl w:ilvl="0" w:tentative="0">
      <w:start w:val="2"/>
      <w:numFmt w:val="chineseCounting"/>
      <w:suff w:val="space"/>
      <w:lvlText w:val="第%1章"/>
      <w:lvlJc w:val="left"/>
      <w:pPr>
        <w:ind w:left="0" w:firstLine="0"/>
      </w:pPr>
      <w:rPr>
        <w:rFonts w:hint="eastAsia"/>
      </w:r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6"/>
  </w:num>
  <w:num w:numId="5">
    <w:abstractNumId w:val="4"/>
  </w:num>
  <w:num w:numId="6">
    <w:abstractNumId w:val="7"/>
  </w:num>
  <w:num w:numId="7">
    <w:abstractNumId w:val="14"/>
  </w:num>
  <w:num w:numId="8">
    <w:abstractNumId w:val="2"/>
  </w:num>
  <w:num w:numId="9">
    <w:abstractNumId w:val="3"/>
  </w:num>
  <w:num w:numId="10">
    <w:abstractNumId w:val="13"/>
  </w:num>
  <w:num w:numId="11">
    <w:abstractNumId w:val="10"/>
  </w:num>
  <w:num w:numId="12">
    <w:abstractNumId w:val="12"/>
  </w:num>
  <w:num w:numId="13">
    <w:abstractNumId w:val="1"/>
  </w:num>
  <w:num w:numId="14">
    <w:abstractNumId w:val="1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D847EC"/>
    <w:rsid w:val="29DE5DEE"/>
    <w:rsid w:val="68217914"/>
    <w:rsid w:val="6B654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next w:val="1"/>
    <w:link w:val="141"/>
    <w:qFormat/>
    <w:uiPriority w:val="9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4">
    <w:name w:val="heading 2"/>
    <w:next w:val="1"/>
    <w:unhideWhenUsed/>
    <w:qFormat/>
    <w:uiPriority w:val="9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5">
    <w:name w:val="heading 3"/>
    <w:next w:val="1"/>
    <w:unhideWhenUsed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6">
    <w:name w:val="heading 4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5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8">
    <w:name w:val="heading 6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9">
    <w:name w:val="heading 7"/>
    <w:next w:val="1"/>
    <w:link w:val="156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10">
    <w:name w:val="heading 8"/>
    <w:next w:val="1"/>
    <w:link w:val="157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1">
    <w:name w:val="heading 9"/>
    <w:next w:val="1"/>
    <w:link w:val="158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35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Arial" w:hAnsi="Arial" w:eastAsia="黑体"/>
      <w:b/>
      <w:bCs/>
      <w:color w:val="4874CB" w:themeColor="accent1"/>
      <w:sz w:val="20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unhideWhenUsed/>
    <w:uiPriority w:val="99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next w:val="1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Title"/>
    <w:next w:val="1"/>
    <w:qFormat/>
    <w:uiPriority w:val="1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uiPriority w:val="9"/>
    <w:rPr>
      <w:rFonts w:ascii="Times New Roman" w:hAnsi="Times New Roman" w:eastAsia="黑体" w:cs="Times New Roman"/>
      <w:color w:val="000000"/>
      <w:kern w:val="44"/>
      <w:sz w:val="32"/>
      <w:szCs w:val="44"/>
    </w:rPr>
  </w:style>
  <w:style w:type="character" w:customStyle="1" w:styleId="142">
    <w:name w:val="Heading 2 Char"/>
    <w:basedOn w:val="135"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uiPriority w:val="99"/>
  </w:style>
  <w:style w:type="character" w:customStyle="1" w:styleId="148">
    <w:name w:val="Body Text 2 Char"/>
    <w:basedOn w:val="135"/>
    <w:link w:val="31"/>
    <w:uiPriority w:val="99"/>
  </w:style>
  <w:style w:type="character" w:customStyle="1" w:styleId="149">
    <w:name w:val="Body Text 3 Char"/>
    <w:basedOn w:val="135"/>
    <w:link w:val="17"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154">
    <w:name w:val="Heading 5 Char"/>
    <w:basedOn w:val="135"/>
    <w:link w:val="7"/>
    <w:semiHidden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155">
    <w:name w:val="Heading 6 Char"/>
    <w:basedOn w:val="135"/>
    <w:link w:val="8"/>
    <w:semiHidden/>
    <w:uiPriority w:val="9"/>
    <w:rPr>
      <w:rFonts w:ascii="Times New Roman" w:hAnsi="Times New Roman" w:eastAsia="黑体" w:cs="Times New Roman"/>
      <w:bCs/>
      <w:kern w:val="2"/>
      <w:sz w:val="28"/>
      <w:szCs w:val="24"/>
    </w:rPr>
  </w:style>
  <w:style w:type="character" w:customStyle="1" w:styleId="156">
    <w:name w:val="Heading 7 Char"/>
    <w:basedOn w:val="135"/>
    <w:link w:val="9"/>
    <w:semiHidden/>
    <w:uiPriority w:val="9"/>
    <w:rPr>
      <w:rFonts w:ascii="Times New Roman" w:hAnsi="Times New Roman" w:eastAsia="黑体" w:cs="Times New Roman"/>
      <w:bCs/>
      <w:kern w:val="2"/>
      <w:sz w:val="24"/>
      <w:szCs w:val="24"/>
    </w:rPr>
  </w:style>
  <w:style w:type="character" w:customStyle="1" w:styleId="157">
    <w:name w:val="Heading 8 Char"/>
    <w:basedOn w:val="135"/>
    <w:link w:val="10"/>
    <w:semiHidden/>
    <w:uiPriority w:val="9"/>
    <w:rPr>
      <w:rFonts w:ascii="Times New Roman" w:hAnsi="Times New Roman" w:eastAsia="黑体" w:cs="Times New Roman"/>
      <w:kern w:val="2"/>
      <w:sz w:val="24"/>
      <w:szCs w:val="24"/>
    </w:rPr>
  </w:style>
  <w:style w:type="character" w:customStyle="1" w:styleId="158">
    <w:name w:val="Heading 9 Char"/>
    <w:basedOn w:val="135"/>
    <w:link w:val="11"/>
    <w:semiHidden/>
    <w:uiPriority w:val="9"/>
    <w:rPr>
      <w:rFonts w:ascii="Times New Roman" w:hAnsi="Times New Roman" w:eastAsia="黑体" w:cs="Times New Roman"/>
      <w:kern w:val="2"/>
      <w:sz w:val="21"/>
      <w:szCs w:val="21"/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章标题"/>
    <w:next w:val="1"/>
    <w:qFormat/>
    <w:uiPriority w:val="0"/>
    <w:pPr>
      <w:widowControl w:val="0"/>
      <w:adjustRightInd w:val="0"/>
      <w:spacing w:before="100" w:after="100" w:line="360" w:lineRule="auto"/>
      <w:jc w:val="center"/>
      <w:outlineLvl w:val="0"/>
    </w:pPr>
    <w:rPr>
      <w:rFonts w:asciiTheme="minorHAnsi" w:hAnsiTheme="minorHAnsi" w:eastAsiaTheme="minorEastAsia" w:cstheme="minorBidi"/>
    </w:rPr>
  </w:style>
  <w:style w:type="paragraph" w:customStyle="1" w:styleId="168">
    <w:name w:val="题注1"/>
    <w:next w:val="1"/>
    <w:qFormat/>
    <w:uiPriority w:val="0"/>
    <w:pPr>
      <w:widowControl w:val="0"/>
      <w:adjustRightInd w:val="0"/>
      <w:spacing w:before="240" w:after="120" w:line="288" w:lineRule="auto"/>
      <w:jc w:val="center"/>
    </w:pPr>
    <w:rPr>
      <w:rFonts w:asciiTheme="minorHAnsi" w:hAnsiTheme="minorHAnsi" w:eastAsiaTheme="minorEastAsia" w:cstheme="minorBidi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6" Type="http://schemas.openxmlformats.org/officeDocument/2006/relationships/fontTable" Target="fontTable.xml"/><Relationship Id="rId45" Type="http://schemas.openxmlformats.org/officeDocument/2006/relationships/customXml" Target="../customXml/item1.xml"/><Relationship Id="rId44" Type="http://schemas.openxmlformats.org/officeDocument/2006/relationships/numbering" Target="numbering.xml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Relationship Id="rId47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4018</Words>
  <Characters>4605</Characters>
  <Lines>0</Lines>
  <Paragraphs>0</Paragraphs>
  <TotalTime>16</TotalTime>
  <ScaleCrop>false</ScaleCrop>
  <LinksUpToDate>false</LinksUpToDate>
  <CharactersWithSpaces>5095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英熊</cp:lastModifiedBy>
  <dcterms:modified xsi:type="dcterms:W3CDTF">2026-09-25T17:47:41Z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eyJoZGlkIjoiODM0ZGNlMWM5YzYxMTRjNDY5MjgzZTZkNTZhYzcwMTUiLCJ1c2VySWQiOiIxNDY2MDYyNzE2In0=</vt:lpwstr>
  </property>
  <property fmtid="{D5CDD505-2E9C-101B-9397-08002B2CF9AE}" pid="3" name="KSOProductBuildVer">
    <vt:lpwstr>2052-12.1.0.28505</vt:lpwstr>
  </property>
  <property fmtid="{D5CDD505-2E9C-101B-9397-08002B2CF9AE}" pid="4" name="ICV">
    <vt:lpwstr>FC02782104CB4D1FB782F46612679BBD_12</vt:lpwstr>
  </property>
</Properties>
</file>