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0"/>
        </w:numPr>
        <w:spacing w:before="40" w:after="40"/>
        <w:ind w:left="360" w:hanging="360"/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Изпит по "Основи на програмирането" –</w:t>
      </w:r>
      <w:r>
        <w:rPr>
          <w:sz w:val="40"/>
          <w:lang w:val="ru-RU"/>
        </w:rPr>
        <w:t xml:space="preserve"> 9 </w:t>
      </w:r>
      <w:r>
        <w:rPr>
          <w:sz w:val="40"/>
        </w:rPr>
        <w:t xml:space="preserve">и 10 Март 2019 </w:t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/>
      </w:pPr>
      <w:r>
        <w:rPr/>
        <w:t>Задача 4. Дартс</w:t>
      </w:r>
    </w:p>
    <w:p>
      <w:pPr>
        <w:pStyle w:val="Normal"/>
        <w:spacing w:before="40" w:after="40"/>
        <w:rPr/>
      </w:pPr>
      <w:r>
        <w:rPr/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>
      <w:pPr>
        <w:pStyle w:val="Normal"/>
        <w:spacing w:before="40" w:after="40"/>
        <w:rPr/>
      </w:pPr>
      <w:r>
        <w:rPr/>
        <w:t xml:space="preserve">Първоначално играчът </w:t>
      </w:r>
      <w:r>
        <w:rPr>
          <w:b/>
          <w:bCs/>
        </w:rPr>
        <w:t>започва с 301 точки</w:t>
      </w:r>
      <w:r>
        <w:rPr/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rPr/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rPr/>
        <w:t xml:space="preserve">, от него се взимат </w:t>
      </w:r>
      <w:r>
        <w:rPr>
          <w:b/>
          <w:bCs/>
        </w:rPr>
        <w:t>удвоените</w:t>
      </w:r>
      <w:r>
        <w:rPr/>
        <w:t xml:space="preserve"> </w:t>
      </w:r>
      <w:r>
        <w:rPr>
          <w:b/>
          <w:bCs/>
        </w:rPr>
        <w:t>точки</w:t>
      </w:r>
      <w:r>
        <w:rPr/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rPr/>
        <w:t xml:space="preserve"> сектор, точките от който са </w:t>
      </w:r>
      <w:r>
        <w:rPr>
          <w:b/>
          <w:bCs/>
        </w:rPr>
        <w:t>умножени по 3</w:t>
      </w:r>
      <w:r>
        <w:rPr/>
        <w:t>.</w:t>
      </w:r>
    </w:p>
    <w:p>
      <w:pPr>
        <w:pStyle w:val="Normal"/>
        <w:spacing w:before="40" w:after="40"/>
        <w:rPr/>
      </w:pPr>
      <w:r>
        <w:rPr/>
        <w:t>Получените точки от всеки изстрел се изваждат от началните точки, до достигане на 0.</w:t>
      </w:r>
    </w:p>
    <w:p>
      <w:pPr>
        <w:pStyle w:val="Normal"/>
        <w:spacing w:before="40" w:after="40"/>
        <w:rPr/>
      </w:pPr>
      <w:r>
        <w:rPr>
          <w:b/>
          <w:bCs/>
        </w:rPr>
        <w:t xml:space="preserve">Забележка: </w:t>
      </w:r>
      <w:r>
        <w:rPr/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>
      <w:pPr>
        <w:pStyle w:val="Normal"/>
        <w:spacing w:before="40" w:after="40"/>
        <w:rPr/>
      </w:pPr>
      <w:r>
        <w:rPr>
          <w:b/>
          <w:bCs/>
        </w:rPr>
        <w:t xml:space="preserve">Пример: </w:t>
      </w:r>
      <w:r>
        <w:rPr/>
        <w:t>При налични</w:t>
      </w:r>
      <w:r>
        <w:rPr>
          <w:b/>
          <w:bCs/>
        </w:rPr>
        <w:t xml:space="preserve"> </w:t>
      </w:r>
      <w:r>
        <w:rPr/>
        <w:t>точки 100, удар даващ повече от 100 точки, неуспешен</w:t>
      </w:r>
    </w:p>
    <w:p>
      <w:pPr>
        <w:pStyle w:val="Normal"/>
        <w:spacing w:before="40" w:after="40"/>
        <w:rPr/>
      </w:pPr>
      <w:r>
        <w:rPr/>
        <w:t>При налични точки 100, удар даващ по-малко или равни на 100 точки, успешен</w:t>
      </w:r>
    </w:p>
    <w:p>
      <w:pPr>
        <w:pStyle w:val="3"/>
        <w:spacing w:before="40" w:after="40"/>
        <w:rPr/>
      </w:pPr>
      <w:r>
        <w:rPr/>
        <w:t xml:space="preserve">Вход </w:t>
      </w:r>
    </w:p>
    <w:p>
      <w:pPr>
        <w:pStyle w:val="Normal"/>
        <w:spacing w:before="40" w:after="40"/>
        <w:rPr/>
      </w:pPr>
      <w:r>
        <w:rPr/>
        <w:t xml:space="preserve">Първоначално се чете </w:t>
      </w:r>
      <w:r>
        <w:rPr>
          <w:b/>
        </w:rPr>
        <w:t>един ред</w:t>
      </w:r>
      <w:r>
        <w:rPr/>
        <w:t>:</w:t>
      </w:r>
    </w:p>
    <w:p>
      <w:pPr>
        <w:pStyle w:val="ListParagraph"/>
        <w:numPr>
          <w:ilvl w:val="0"/>
          <w:numId w:val="2"/>
        </w:numPr>
        <w:spacing w:lineRule="auto" w:line="240" w:before="40" w:after="40"/>
        <w:contextualSpacing/>
        <w:rPr>
          <w:b/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>
      <w:pPr>
        <w:pStyle w:val="Normal"/>
        <w:spacing w:lineRule="auto" w:line="240" w:before="40" w:after="40"/>
        <w:ind w:left="180" w:hanging="180"/>
        <w:rPr>
          <w:b/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>
      <w:pPr>
        <w:pStyle w:val="ListParagraph"/>
        <w:numPr>
          <w:ilvl w:val="0"/>
          <w:numId w:val="3"/>
        </w:numPr>
        <w:spacing w:lineRule="auto" w:line="240" w:before="40" w:after="40"/>
        <w:ind w:left="810" w:hanging="270"/>
        <w:contextualSpacing/>
        <w:rPr>
          <w:b/>
          <w:b/>
        </w:rPr>
      </w:pPr>
      <w:r>
        <w:rPr>
          <w:b/>
        </w:rPr>
        <w:t>Поле – текст ("</w:t>
      </w:r>
      <w:r>
        <w:rPr>
          <w:rStyle w:val="CodeChar"/>
        </w:rPr>
        <w:t>Single</w:t>
      </w:r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r>
        <w:rPr>
          <w:rStyle w:val="CodeChar"/>
        </w:rPr>
        <w:t>Triple</w:t>
      </w:r>
      <w:r>
        <w:rPr>
          <w:b/>
        </w:rPr>
        <w:t>")</w:t>
      </w:r>
    </w:p>
    <w:p>
      <w:pPr>
        <w:pStyle w:val="ListParagraph"/>
        <w:numPr>
          <w:ilvl w:val="0"/>
          <w:numId w:val="3"/>
        </w:numPr>
        <w:spacing w:lineRule="auto" w:line="240" w:before="40" w:after="40"/>
        <w:ind w:left="810" w:hanging="270"/>
        <w:contextualSpacing/>
        <w:rPr>
          <w:b/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>
      <w:pPr>
        <w:pStyle w:val="3"/>
        <w:spacing w:before="40" w:after="40"/>
        <w:rPr/>
      </w:pPr>
      <w:r>
        <w:rPr/>
        <w:t>Изход</w:t>
      </w:r>
    </w:p>
    <w:p>
      <w:pPr>
        <w:pStyle w:val="Normal"/>
        <w:spacing w:before="40" w:after="40"/>
        <w:rPr/>
      </w:pPr>
      <w:r>
        <w:rPr/>
        <w:t>Играта приключва при въвеждане на команда "</w:t>
      </w:r>
      <w:r>
        <w:rPr>
          <w:rStyle w:val="CodeChar"/>
        </w:rPr>
        <w:t>Retire</w:t>
      </w:r>
      <w:r>
        <w:rPr/>
        <w:t>"</w:t>
      </w:r>
      <w:r>
        <w:rPr>
          <w:lang w:val="ru-RU"/>
        </w:rPr>
        <w:t xml:space="preserve"> </w:t>
      </w:r>
      <w:r>
        <w:rPr/>
        <w:t>или при изравняване на началните 301 точки към 0</w:t>
      </w:r>
      <w:r>
        <w:rPr>
          <w:lang w:val="ru-RU"/>
        </w:rPr>
        <w:t xml:space="preserve">. </w:t>
      </w:r>
      <w:r>
        <w:rPr/>
        <w:t>На конзолата трябва да се напечата един ред: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Ако играчът </w:t>
      </w:r>
      <w:r>
        <w:rPr>
          <w:rFonts w:cs="Calibri" w:cstheme="minorHAnsi"/>
          <w:b/>
        </w:rPr>
        <w:t>е спечелил лега:</w:t>
      </w:r>
    </w:p>
    <w:p>
      <w:pPr>
        <w:pStyle w:val="ListParagraph"/>
        <w:numPr>
          <w:ilvl w:val="1"/>
          <w:numId w:val="2"/>
        </w:numPr>
        <w:spacing w:before="40" w:after="40"/>
        <w:contextualSpacing/>
        <w:rPr>
          <w:b/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eastAsia="Consolas" w:cs="Consolas" w:ascii="Consolas" w:hAnsi="Consolas"/>
          <w:b/>
          <w:bCs/>
          <w:lang w:val="en-US"/>
        </w:rPr>
        <w:t>won</w:t>
      </w:r>
      <w:r>
        <w:rPr>
          <w:rFonts w:eastAsia="Consolas" w:cs="Consolas" w:ascii="Consolas" w:hAnsi="Consolas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  <w:lang w:val="en-US"/>
        </w:rPr>
        <w:t>the</w:t>
      </w:r>
      <w:r>
        <w:rPr>
          <w:rFonts w:eastAsia="Consolas" w:cs="Consolas" w:ascii="Consolas" w:hAnsi="Consolas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  <w:lang w:val="en-US"/>
        </w:rPr>
        <w:t>leg</w:t>
      </w:r>
      <w:r>
        <w:rPr>
          <w:rFonts w:eastAsia="Consolas" w:cs="Consolas" w:ascii="Consolas" w:hAnsi="Consolas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eastAsia="Consolas" w:cs="Consolas" w:ascii="Consolas" w:hAnsi="Consolas"/>
          <w:b/>
          <w:bCs/>
          <w:lang w:val="en-US"/>
        </w:rPr>
        <w:t>shots</w:t>
      </w:r>
      <w:r>
        <w:rPr>
          <w:rFonts w:eastAsia="Consolas" w:cs="Consolas" w:ascii="Consolas" w:hAnsi="Consolas"/>
          <w:b/>
          <w:bCs/>
        </w:rPr>
        <w:t>.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Ако играчът </w:t>
      </w:r>
      <w:r>
        <w:rPr>
          <w:rFonts w:cs="Calibri" w:cstheme="minorHAnsi"/>
          <w:b/>
        </w:rPr>
        <w:t>се е отказал от играта</w:t>
      </w:r>
      <w:r>
        <w:rPr>
          <w:rFonts w:cs="Calibri" w:cstheme="minorHAnsi"/>
        </w:rPr>
        <w:t>:</w:t>
      </w:r>
    </w:p>
    <w:p>
      <w:pPr>
        <w:pStyle w:val="ListParagraph"/>
        <w:numPr>
          <w:ilvl w:val="1"/>
          <w:numId w:val="2"/>
        </w:numPr>
        <w:spacing w:before="40" w:after="40"/>
        <w:contextualSpacing/>
        <w:rPr>
          <w:b/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eastAsia="Consolas" w:cs="Consolas" w:ascii="Consolas" w:hAnsi="Consolas"/>
          <w:b/>
          <w:bCs/>
          <w:lang w:val="en-US"/>
        </w:rPr>
        <w:t>retired</w:t>
      </w:r>
      <w:r>
        <w:rPr>
          <w:rFonts w:eastAsia="Consolas" w:cs="Consolas" w:ascii="Consolas" w:hAnsi="Consolas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eastAsia="Consolas" w:cs="Consolas" w:ascii="Consolas" w:hAnsi="Consolas"/>
          <w:b/>
          <w:bCs/>
          <w:lang w:val="en-US"/>
        </w:rPr>
        <w:t>unsuccessful</w:t>
      </w:r>
      <w:r>
        <w:rPr>
          <w:rFonts w:eastAsia="Consolas" w:cs="Consolas" w:ascii="Consolas" w:hAnsi="Consolas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  <w:lang w:val="en-US"/>
        </w:rPr>
        <w:t>shots</w:t>
      </w:r>
      <w:r>
        <w:rPr>
          <w:rFonts w:eastAsia="Consolas" w:cs="Consolas" w:ascii="Consolas" w:hAnsi="Consolas"/>
          <w:b/>
          <w:bCs/>
        </w:rPr>
        <w:t>.</w:t>
      </w:r>
      <w:r>
        <w:rPr>
          <w:b/>
          <w:bCs/>
        </w:rPr>
        <w:t>"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Style w:val="TableGrid"/>
        <w:tblW w:w="10834" w:type="dxa"/>
        <w:jc w:val="left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525"/>
        <w:gridCol w:w="3716"/>
        <w:gridCol w:w="4593"/>
      </w:tblGrid>
      <w:tr>
        <w:trPr/>
        <w:tc>
          <w:tcPr>
            <w:tcW w:w="25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color w:val="00000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37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color w:val="00000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  <w:tc>
          <w:tcPr>
            <w:tcW w:w="45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color w:val="00000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Обяснения</w:t>
            </w:r>
          </w:p>
        </w:tc>
      </w:tr>
      <w:tr>
        <w:trPr>
          <w:trHeight w:val="3074" w:hRule="atLeast"/>
        </w:trPr>
        <w:tc>
          <w:tcPr>
            <w:tcW w:w="2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bookmarkStart w:id="1" w:name="__DdeLink__678_1991504068"/>
            <w:bookmarkStart w:id="2" w:name="__DdeLink__646_1991504068"/>
            <w:bookmarkStart w:id="3" w:name="__DdeLink__644_1991504068"/>
            <w:bookmarkStart w:id="4" w:name="__DdeLink__619_1991504068"/>
            <w:bookmarkStart w:id="5" w:name="__DdeLink__617_1991504068"/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Michael van Gerwen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bookmarkStart w:id="6" w:name="__DdeLink__646_1991504068"/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19</w:t>
            </w:r>
            <w:bookmarkEnd w:id="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Single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Single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bookmarkStart w:id="7" w:name="__DdeLink__678_1991504068"/>
            <w:bookmarkStart w:id="8" w:name="__DdeLink__644_1991504068"/>
            <w:bookmarkStart w:id="9" w:name="__DdeLink__619_1991504068"/>
            <w:bookmarkStart w:id="10" w:name="__DdeLink__617_1991504068"/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  <w:bookmarkEnd w:id="7"/>
            <w:bookmarkEnd w:id="8"/>
            <w:bookmarkEnd w:id="9"/>
            <w:bookmarkEnd w:id="10"/>
          </w:p>
        </w:tc>
        <w:tc>
          <w:tcPr>
            <w:tcW w:w="3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Michael van Gerwen won the leg with 8 shots.</w:t>
            </w:r>
          </w:p>
        </w:tc>
        <w:tc>
          <w:tcPr>
            <w:tcW w:w="459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Започваме със 301 точки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Първият удар е тройно 20 -&gt; 60 &lt;= 301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301 – 60 = 241; успешни изстрели = 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Втори удар е тройно 19 -&gt; 57 &lt;= 241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 xml:space="preserve">241 – 57 =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184; 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успешни изстрели = 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Трети удар е двойно 10 -&gt; 20 &lt;=184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184 – 20 = 164; успешни изстрели = 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Четвърти удар е единично 3 -&gt; 3 &lt;= 164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164 – 3 = 161; успешни изстрели = 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Пети удар е единично 1 -&gt; 1 &lt;= 161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161 – 1 = 160; успешни изстрели = 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Шести удар е тройно 20 -&gt; 60 &lt;= 160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160 – 60 = 100; успешни изстрели  = 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Седми удар е тройно 20 -&gt; 60 &lt;= 100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100 – 60 = 40; успешни изстрели = 7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Осми удар е двойно 20 -&gt; 40 &lt;=40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40 – 40 = 0; успешни изстрели = 8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2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Stephen Bunting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Single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Single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Stephen Bunting won the leg with 6 shots.</w:t>
            </w:r>
          </w:p>
        </w:tc>
        <w:tc>
          <w:tcPr>
            <w:tcW w:w="459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Започваме със 301 точки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Първият удар е тройно 20 -&gt; 60 &lt;= 301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301 – 60 = 241; успешни изстрели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ru-RU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ru-RU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ru-RU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Петият удар е тройно 20 -&gt; 60 &lt;= 61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 xml:space="preserve">61 – 60 = 1; 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успешни изстрели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Шестият удар е тройно 20 -&gt; 60 &gt;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Неуспешни изстрели 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Седмият удар е двойно 7 -&gt; 14 &gt;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Неуспешни изстрели =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Осмият удар е единично 12 -&gt; 12 &gt;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Неуспешни изстрели =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Деветият удар е двойно 1 -&gt; 2 &gt;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Неуспешни изстрели =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Десетият удар е единично 1 -&gt; 1 &lt;=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1 – 1 = 0; успешни изстрели = 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2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Rob Cross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Triple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Re</w:t>
            </w: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iple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Double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bookmarkStart w:id="11" w:name="__DdeLink__590_1991504068"/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Retire</w:t>
            </w:r>
            <w:bookmarkEnd w:id="11"/>
          </w:p>
        </w:tc>
        <w:tc>
          <w:tcPr>
            <w:tcW w:w="3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en-US"/>
              </w:rPr>
            </w:pPr>
            <w:bookmarkStart w:id="12" w:name="__DdeLink__592_1991504068"/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Rob Cross retired after 3 unsuccessful shots.</w:t>
            </w:r>
            <w:bookmarkEnd w:id="12"/>
          </w:p>
        </w:tc>
        <w:tc>
          <w:tcPr>
            <w:tcW w:w="459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Започваме със 301 точки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Първият удар е тройно 20 -&gt; 60 &lt;= 301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301 – 60 = 241; успешни изстрели = 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Пети удар е двойно 20 -&gt; 40 &lt;= 61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61 – 40 = 21; успешни изстрели = 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Шести удар е тройно 20 -&gt; 60 &gt; 21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Неуспешни изстрели 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Седми удар е двойно 5 -&gt; 10 &lt;= 21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  <w:t>21 – 10 = 11; успешни изстрели 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Осми удар е тройно 10 -&gt; 30 &gt; 11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Неуспешни изстрели 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Девети удар е двойно 6 -&gt; 12 &gt; 11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Неуспешни изстрели 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/>
            </w:pPr>
            <w:r>
              <w:rPr>
                <w:rStyle w:val="CodeChar"/>
                <w:rFonts w:eastAsia="Calibri" w:cs="Arial"/>
                <w:kern w:val="0"/>
                <w:sz w:val="22"/>
                <w:szCs w:val="22"/>
                <w:lang w:eastAsia="en-US" w:bidi="ar-SA"/>
              </w:rPr>
              <w:t>Retire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 xml:space="preserve">-&gt; играча се отказва, след 3 неуспешни изстрела 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7" wp14:anchorId="4D6E17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D6E173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74E09B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1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3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3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6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6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7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8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8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19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9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74E09BD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11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1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6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6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19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9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BD8AB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0BD8ABB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lang w:val="en-US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4CE8D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CE8DC0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75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75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50"/>
      <w:numFmt w:val="decimal"/>
      <w:lvlText w:val="%1.%2"/>
      <w:lvlJc w:val="left"/>
      <w:pPr>
        <w:tabs>
          <w:tab w:val="num" w:pos="0"/>
        </w:tabs>
        <w:ind w:left="1524" w:hanging="44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  <w:rPr/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 w:customStyle="1">
    <w:name w:val="Таблица - съдържание"/>
    <w:basedOn w:val="Normal"/>
    <w:qFormat/>
    <w:rsid w:val="004f2227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D770-0521-44E6-9096-2342515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3</Pages>
  <Words>728</Words>
  <Characters>2998</Characters>
  <CharactersWithSpaces>3626</CharactersWithSpaces>
  <Paragraphs>139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2018-10-21T13:22:00Z</dcterms:created>
  <dc:creator>Software University Foundation</dc:creator>
  <dc:description>https://softuni.bg/courses/programming-basics/</dc:description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2019-03-08T10:16:00Z</cp:lastPrinted>
  <dcterms:modified xsi:type="dcterms:W3CDTF">2020-11-16T00:36:42Z</dcterms:modified>
  <cp:revision>60</cp:revision>
  <dc:subject>Основи на програмирането Практически курс в СофтУни</dc:subject>
  <dc:title>04. Darts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