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CONSENSOS</w:t>
      </w:r>
    </w:p>
    <w:p>
      <w:pPr>
        <w:jc w:val="center"/>
      </w:pPr>
      <w:r>
        <w:rPr>
          <w:b/>
          <w:sz w:val="62"/>
        </w:rPr>
        <w:t>ÍNDICE MAESTRO</w:t>
      </w:r>
    </w:p>
    <w:p>
      <w:pPr>
        <w:jc w:val="center"/>
      </w:pPr>
      <w:r>
        <w:rPr>
          <w:sz w:val="36"/>
        </w:rPr>
        <w:t>Sistema determinista de localización y registro territorial</w:t>
      </w:r>
    </w:p>
    <w:p>
      <w:pPr>
        <w:jc w:val="center"/>
      </w:pPr>
      <w:r>
        <w:rPr>
          <w:sz w:val="24"/>
        </w:rPr>
        <w:t>Estructura formal del documento de proyecto, tesis e infraestructura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b/>
                <w:sz w:val="19"/>
              </w:rPr>
              <w:t>Proyecto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Consensos by Lerry Alexander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b/>
                <w:sz w:val="19"/>
              </w:rPr>
              <w:t>Documento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Índice y arquitectura documental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b/>
                <w:sz w:val="19"/>
              </w:rPr>
              <w:t>Versión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0.1 — estructura base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b/>
                <w:sz w:val="19"/>
              </w:rPr>
              <w:t>Estampa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22/09/2026 · 19:22 · UTC−06:00 · ubicación estimada: San Rafael, San José, Costa Rica</w:t>
            </w:r>
          </w:p>
        </w:tc>
      </w:tr>
    </w:tbl>
    <w:p>
      <w:r>
        <w:br w:type="page"/>
      </w:r>
    </w:p>
    <w:p>
      <w:pPr>
        <w:pStyle w:val="Heading1"/>
      </w:pPr>
      <w:r>
        <w:t>Índice general</w:t>
      </w:r>
    </w:p>
    <w:p>
      <w:pPr>
        <w:spacing w:after="200"/>
      </w:pPr>
      <w:r>
        <w:t>La numeración está diseñada como arquitectura documental: cada capítulo puede convertirse posteriormente en un documento técnico independiente sin perder su relación con el consenso principal.</w:t>
      </w:r>
    </w:p>
    <w:p>
      <w:pPr>
        <w:pStyle w:val="IndiceNivel1"/>
      </w:pPr>
      <w:r>
        <w:t>1. Preliminares</w:t>
      </w:r>
    </w:p>
    <w:p>
      <w:pPr>
        <w:pStyle w:val="IndiceNivel2"/>
      </w:pPr>
      <w:r>
        <w:t>1.1 Portada y control documental</w:t>
      </w:r>
      <w:r>
        <w:rPr>
          <w:i/>
        </w:rPr>
        <w:t xml:space="preserve"> — </w:t>
      </w:r>
      <w:r>
        <w:rPr>
          <w:i/>
          <w:sz w:val="18"/>
        </w:rPr>
        <w:t>Identificación del proyecto, autoría, versión, fecha y estado del documento.</w:t>
      </w:r>
    </w:p>
    <w:p>
      <w:pPr>
        <w:pStyle w:val="IndiceNivel2"/>
      </w:pPr>
      <w:r>
        <w:t>1.2 Resumen ejecutivo</w:t>
      </w:r>
      <w:r>
        <w:rPr>
          <w:i/>
        </w:rPr>
        <w:t xml:space="preserve"> — </w:t>
      </w:r>
      <w:r>
        <w:rPr>
          <w:i/>
          <w:sz w:val="18"/>
        </w:rPr>
        <w:t>Síntesis del sistema, problema abordado y propuesta de infraestructura.</w:t>
      </w:r>
    </w:p>
    <w:p>
      <w:pPr>
        <w:pStyle w:val="IndiceNivel2"/>
      </w:pPr>
      <w:r>
        <w:t>1.3 Tabla de definiciones</w:t>
      </w:r>
      <w:r>
        <w:rPr>
          <w:i/>
        </w:rPr>
        <w:t xml:space="preserve"> — </w:t>
      </w:r>
      <w:r>
        <w:rPr>
          <w:i/>
          <w:sz w:val="18"/>
        </w:rPr>
        <w:t>Conceptos esenciales: path, ancla, estaca, nodo, referencia, medición, registro y estado territorial.</w:t>
      </w:r>
    </w:p>
    <w:p>
      <w:pPr>
        <w:pStyle w:val="IndiceNivel2"/>
      </w:pPr>
      <w:r>
        <w:t>1.4 Glosario técnico</w:t>
      </w:r>
      <w:r>
        <w:rPr>
          <w:i/>
        </w:rPr>
        <w:t xml:space="preserve"> — </w:t>
      </w:r>
      <w:r>
        <w:rPr>
          <w:i/>
          <w:sz w:val="18"/>
        </w:rPr>
        <w:t>Diccionario de términos, siglas y convenciones del sistema.</w:t>
      </w:r>
    </w:p>
    <w:p>
      <w:pPr>
        <w:pStyle w:val="IndiceNivel1"/>
      </w:pPr>
      <w:r>
        <w:t>2. Planteamiento y fundamento</w:t>
      </w:r>
    </w:p>
    <w:p>
      <w:pPr>
        <w:pStyle w:val="IndiceNivel2"/>
      </w:pPr>
      <w:r>
        <w:t>2.1 Problema territorial y registral</w:t>
      </w:r>
      <w:r>
        <w:rPr>
          <w:i/>
        </w:rPr>
        <w:t xml:space="preserve"> — </w:t>
      </w:r>
      <w:r>
        <w:rPr>
          <w:i/>
          <w:sz w:val="18"/>
        </w:rPr>
        <w:t>Limitaciones que motivan una infraestructura común de localización, medición y registro.</w:t>
      </w:r>
    </w:p>
    <w:p>
      <w:pPr>
        <w:pStyle w:val="IndiceNivel2"/>
      </w:pPr>
      <w:r>
        <w:t>2.2 Objetivos del sistema</w:t>
      </w:r>
      <w:r>
        <w:rPr>
          <w:i/>
        </w:rPr>
        <w:t xml:space="preserve"> — </w:t>
      </w:r>
      <w:r>
        <w:rPr>
          <w:i/>
          <w:sz w:val="18"/>
        </w:rPr>
        <w:t>Objetivo general y objetivos específicos de localización, registro y trazabilidad.</w:t>
      </w:r>
    </w:p>
    <w:p>
      <w:pPr>
        <w:pStyle w:val="IndiceNivel2"/>
      </w:pPr>
      <w:r>
        <w:t>2.3 Hipótesis de diseño</w:t>
      </w:r>
      <w:r>
        <w:rPr>
          <w:i/>
        </w:rPr>
        <w:t xml:space="preserve"> — </w:t>
      </w:r>
      <w:r>
        <w:rPr>
          <w:i/>
          <w:sz w:val="18"/>
        </w:rPr>
        <w:t>Relación entre referencias territoriales, mediciones deterministas y registro histórico.</w:t>
      </w:r>
    </w:p>
    <w:p>
      <w:pPr>
        <w:pStyle w:val="IndiceNivel2"/>
      </w:pPr>
      <w:r>
        <w:t>2.4 Alcance y límites</w:t>
      </w:r>
      <w:r>
        <w:rPr>
          <w:i/>
        </w:rPr>
        <w:t xml:space="preserve"> — </w:t>
      </w:r>
      <w:r>
        <w:rPr>
          <w:i/>
          <w:sz w:val="18"/>
        </w:rPr>
        <w:t>Qué resuelve el sistema y qué continúa dependiendo de instituciones, normas e instrumentos externos.</w:t>
      </w:r>
    </w:p>
    <w:p>
      <w:pPr>
        <w:pStyle w:val="IndiceNivel1"/>
      </w:pPr>
      <w:r>
        <w:t>3. Marco conceptual</w:t>
      </w:r>
    </w:p>
    <w:p>
      <w:pPr>
        <w:pStyle w:val="IndiceNivel2"/>
      </w:pPr>
      <w:r>
        <w:t>3.1 Territorio como objeto registrable</w:t>
      </w:r>
      <w:r>
        <w:rPr>
          <w:i/>
        </w:rPr>
        <w:t xml:space="preserve"> — </w:t>
      </w:r>
      <w:r>
        <w:rPr>
          <w:i/>
          <w:sz w:val="18"/>
        </w:rPr>
        <w:t>Modelo conceptual del territorio como conjunto de objetos y relaciones.</w:t>
      </w:r>
    </w:p>
    <w:p>
      <w:pPr>
        <w:pStyle w:val="IndiceNivel2"/>
      </w:pPr>
      <w:r>
        <w:t>3.2 Medición y referencia</w:t>
      </w:r>
      <w:r>
        <w:rPr>
          <w:i/>
        </w:rPr>
        <w:t xml:space="preserve"> — </w:t>
      </w:r>
      <w:r>
        <w:rPr>
          <w:i/>
          <w:sz w:val="18"/>
        </w:rPr>
        <w:t>Diferencia entre observación física, referencia matemática y registro.</w:t>
      </w:r>
    </w:p>
    <w:p>
      <w:pPr>
        <w:pStyle w:val="IndiceNivel2"/>
      </w:pPr>
      <w:r>
        <w:t>3.3 Determinismo espacial</w:t>
      </w:r>
      <w:r>
        <w:rPr>
          <w:i/>
        </w:rPr>
        <w:t xml:space="preserve"> — </w:t>
      </w:r>
      <w:r>
        <w:rPr>
          <w:i/>
          <w:sz w:val="18"/>
        </w:rPr>
        <w:t>Definición operacional de un path determinista reproducible.</w:t>
      </w:r>
    </w:p>
    <w:p>
      <w:pPr>
        <w:pStyle w:val="IndiceNivel2"/>
      </w:pPr>
      <w:r>
        <w:t>3.4 Temporalidad y versiones</w:t>
      </w:r>
      <w:r>
        <w:rPr>
          <w:i/>
        </w:rPr>
        <w:t xml:space="preserve"> — </w:t>
      </w:r>
      <w:r>
        <w:rPr>
          <w:i/>
          <w:sz w:val="18"/>
        </w:rPr>
        <w:t>Época, estado, transformación y reconstrucción histórica.</w:t>
      </w:r>
    </w:p>
    <w:p>
      <w:pPr>
        <w:pStyle w:val="IndiceNivel1"/>
      </w:pPr>
      <w:r>
        <w:t>4. Arquitectura territorial determinista</w:t>
      </w:r>
    </w:p>
    <w:p>
      <w:pPr>
        <w:pStyle w:val="IndiceNivel2"/>
      </w:pPr>
      <w:r>
        <w:t>4.1 Sistema de referencias</w:t>
      </w:r>
      <w:r>
        <w:rPr>
          <w:i/>
        </w:rPr>
        <w:t xml:space="preserve"> — </w:t>
      </w:r>
      <w:r>
        <w:rPr>
          <w:i/>
          <w:sz w:val="18"/>
        </w:rPr>
        <w:t>Estructura de referencias espaciales y temporales.</w:t>
      </w:r>
    </w:p>
    <w:p>
      <w:pPr>
        <w:pStyle w:val="IndiceNivel2"/>
      </w:pPr>
      <w:r>
        <w:t>4.2 Paths verticales, transversales y curvos</w:t>
      </w:r>
      <w:r>
        <w:rPr>
          <w:i/>
        </w:rPr>
        <w:t xml:space="preserve"> — </w:t>
      </w:r>
      <w:r>
        <w:rPr>
          <w:i/>
          <w:sz w:val="18"/>
        </w:rPr>
        <w:t>Geometrías de referencia y reglas para su generación.</w:t>
      </w:r>
    </w:p>
    <w:p>
      <w:pPr>
        <w:pStyle w:val="IndiceNivel2"/>
      </w:pPr>
      <w:r>
        <w:t>4.3 Intersecciones y nodos territoriales</w:t>
      </w:r>
      <w:r>
        <w:rPr>
          <w:i/>
        </w:rPr>
        <w:t xml:space="preserve"> — </w:t>
      </w:r>
      <w:r>
        <w:rPr>
          <w:i/>
          <w:sz w:val="18"/>
        </w:rPr>
        <w:t>Puntos de cruce, derivaciones y relaciones entre paths.</w:t>
      </w:r>
    </w:p>
    <w:p>
      <w:pPr>
        <w:pStyle w:val="IndiceNivel2"/>
      </w:pPr>
      <w:r>
        <w:t>4.4 Jerarquía espacial</w:t>
      </w:r>
      <w:r>
        <w:rPr>
          <w:i/>
        </w:rPr>
        <w:t xml:space="preserve"> — </w:t>
      </w:r>
      <w:r>
        <w:rPr>
          <w:i/>
          <w:sz w:val="18"/>
        </w:rPr>
        <w:t>Referencia mundial, regional, urbana, local y parcelaria.</w:t>
      </w:r>
    </w:p>
    <w:p>
      <w:pPr>
        <w:pStyle w:val="IndiceNivel1"/>
      </w:pPr>
      <w:r>
        <w:t>5. Red física de anclas</w:t>
      </w:r>
    </w:p>
    <w:p>
      <w:pPr>
        <w:pStyle w:val="IndiceNivel2"/>
      </w:pPr>
      <w:r>
        <w:t>5.1 Anclas territoriales</w:t>
      </w:r>
      <w:r>
        <w:rPr>
          <w:i/>
        </w:rPr>
        <w:t xml:space="preserve"> — </w:t>
      </w:r>
      <w:r>
        <w:rPr>
          <w:i/>
          <w:sz w:val="18"/>
        </w:rPr>
        <w:t>Definición, función y criterios de emplazamiento.</w:t>
      </w:r>
    </w:p>
    <w:p>
      <w:pPr>
        <w:pStyle w:val="IndiceNivel2"/>
      </w:pPr>
      <w:r>
        <w:t>5.2 Anclas urbanas y centros de actividad</w:t>
      </w:r>
      <w:r>
        <w:rPr>
          <w:i/>
        </w:rPr>
        <w:t xml:space="preserve"> — </w:t>
      </w:r>
      <w:r>
        <w:rPr>
          <w:i/>
          <w:sz w:val="18"/>
        </w:rPr>
        <w:t>Uso de sitios urbanos como referencias persistentes de la red.</w:t>
      </w:r>
    </w:p>
    <w:p>
      <w:pPr>
        <w:pStyle w:val="IndiceNivel2"/>
      </w:pPr>
      <w:r>
        <w:t>5.3 Identidad y estado de un ancla</w:t>
      </w:r>
      <w:r>
        <w:rPr>
          <w:i/>
        </w:rPr>
        <w:t xml:space="preserve"> — </w:t>
      </w:r>
      <w:r>
        <w:rPr>
          <w:i/>
          <w:sz w:val="18"/>
        </w:rPr>
        <w:t>ID, ubicación, calibración, orientación, época y estado operativo.</w:t>
      </w:r>
    </w:p>
    <w:p>
      <w:pPr>
        <w:pStyle w:val="IndiceNivel2"/>
      </w:pPr>
      <w:r>
        <w:t>5.4 Relaciones entre anclas</w:t>
      </w:r>
      <w:r>
        <w:rPr>
          <w:i/>
        </w:rPr>
        <w:t xml:space="preserve"> — </w:t>
      </w:r>
      <w:r>
        <w:rPr>
          <w:i/>
          <w:sz w:val="18"/>
        </w:rPr>
        <w:t>Red, redundancia, verificación cruzada y derivación de referencias.</w:t>
      </w:r>
    </w:p>
    <w:p>
      <w:pPr>
        <w:pStyle w:val="IndiceNivel1"/>
      </w:pPr>
      <w:r>
        <w:t>6. Infraestructura de medición local</w:t>
      </w:r>
    </w:p>
    <w:p>
      <w:pPr>
        <w:pStyle w:val="IndiceNivel2"/>
      </w:pPr>
      <w:r>
        <w:t>6.1 Estacas de levantamiento</w:t>
      </w:r>
      <w:r>
        <w:rPr>
          <w:i/>
        </w:rPr>
        <w:t xml:space="preserve"> — </w:t>
      </w:r>
      <w:r>
        <w:rPr>
          <w:i/>
          <w:sz w:val="18"/>
        </w:rPr>
        <w:t>Materialización local y relación con la red de anclas.</w:t>
      </w:r>
    </w:p>
    <w:p>
      <w:pPr>
        <w:pStyle w:val="IndiceNivel2"/>
      </w:pPr>
      <w:r>
        <w:t>6.2 Instrumentación topográfica</w:t>
      </w:r>
      <w:r>
        <w:rPr>
          <w:i/>
        </w:rPr>
        <w:t xml:space="preserve"> — </w:t>
      </w:r>
      <w:r>
        <w:rPr>
          <w:i/>
          <w:sz w:val="18"/>
        </w:rPr>
        <w:t>GNSS, estación total, nivelación, fotogrametría y otros medios de observación.</w:t>
      </w:r>
    </w:p>
    <w:p>
      <w:pPr>
        <w:pStyle w:val="IndiceNivel2"/>
      </w:pPr>
      <w:r>
        <w:t>6.3 Vinculación estaca–ancla–path</w:t>
      </w:r>
      <w:r>
        <w:rPr>
          <w:i/>
        </w:rPr>
        <w:t xml:space="preserve"> — </w:t>
      </w:r>
      <w:r>
        <w:rPr>
          <w:i/>
          <w:sz w:val="18"/>
        </w:rPr>
        <w:t>Procedimiento para trasladar la referencia al terreno medido.</w:t>
      </w:r>
    </w:p>
    <w:p>
      <w:pPr>
        <w:pStyle w:val="IndiceNivel2"/>
      </w:pPr>
      <w:r>
        <w:t>6.4 Control de calidad y discrepancias</w:t>
      </w:r>
      <w:r>
        <w:rPr>
          <w:i/>
        </w:rPr>
        <w:t xml:space="preserve"> — </w:t>
      </w:r>
      <w:r>
        <w:rPr>
          <w:i/>
          <w:sz w:val="18"/>
        </w:rPr>
        <w:t>Tolerancias, errores, observaciones incompatibles y procesos de verificación.</w:t>
      </w:r>
    </w:p>
    <w:p>
      <w:pPr>
        <w:pStyle w:val="IndiceNivel1"/>
      </w:pPr>
      <w:r>
        <w:t>7. Sistema catastral determinista</w:t>
      </w:r>
    </w:p>
    <w:p>
      <w:pPr>
        <w:pStyle w:val="IndiceNivel2"/>
      </w:pPr>
      <w:r>
        <w:t>7.1 Definición del lote</w:t>
      </w:r>
      <w:r>
        <w:rPr>
          <w:i/>
        </w:rPr>
        <w:t xml:space="preserve"> — </w:t>
      </w:r>
      <w:r>
        <w:rPr>
          <w:i/>
          <w:sz w:val="18"/>
        </w:rPr>
        <w:t>Vértices, perímetros, colindancias y referencias asociadas.</w:t>
      </w:r>
    </w:p>
    <w:p>
      <w:pPr>
        <w:pStyle w:val="IndiceNivel2"/>
      </w:pPr>
      <w:r>
        <w:t>7.2 Captura de levantamiento</w:t>
      </w:r>
      <w:r>
        <w:rPr>
          <w:i/>
        </w:rPr>
        <w:t xml:space="preserve"> — </w:t>
      </w:r>
      <w:r>
        <w:rPr>
          <w:i/>
          <w:sz w:val="18"/>
        </w:rPr>
        <w:t>Registro de mediciones, instrumento, operador, fecha y época.</w:t>
      </w:r>
    </w:p>
    <w:p>
      <w:pPr>
        <w:pStyle w:val="IndiceNivel2"/>
      </w:pPr>
      <w:r>
        <w:t>7.3 Geometría parcelaria</w:t>
      </w:r>
      <w:r>
        <w:rPr>
          <w:i/>
        </w:rPr>
        <w:t xml:space="preserve"> — </w:t>
      </w:r>
      <w:r>
        <w:rPr>
          <w:i/>
          <w:sz w:val="18"/>
        </w:rPr>
        <w:t>Construcción y validación del perímetro a partir de observaciones.</w:t>
      </w:r>
    </w:p>
    <w:p>
      <w:pPr>
        <w:pStyle w:val="IndiceNivel2"/>
      </w:pPr>
      <w:r>
        <w:t>7.4 Subdivisión, fusión y modificación</w:t>
      </w:r>
      <w:r>
        <w:rPr>
          <w:i/>
        </w:rPr>
        <w:t xml:space="preserve"> — </w:t>
      </w:r>
      <w:r>
        <w:rPr>
          <w:i/>
          <w:sz w:val="18"/>
        </w:rPr>
        <w:t>Operaciones de transformación del objeto catastral.</w:t>
      </w:r>
    </w:p>
    <w:p>
      <w:pPr>
        <w:pStyle w:val="IndiceNivel1"/>
      </w:pPr>
      <w:r>
        <w:t>8. Registro de propiedad y derechos</w:t>
      </w:r>
    </w:p>
    <w:p>
      <w:pPr>
        <w:pStyle w:val="IndiceNivel2"/>
      </w:pPr>
      <w:r>
        <w:t>8.1 Objeto inmobiliario</w:t>
      </w:r>
      <w:r>
        <w:rPr>
          <w:i/>
        </w:rPr>
        <w:t xml:space="preserve"> — </w:t>
      </w:r>
      <w:r>
        <w:rPr>
          <w:i/>
          <w:sz w:val="18"/>
        </w:rPr>
        <w:t>Relación entre parcela, edificaciones, infraestructura y otros componentes.</w:t>
      </w:r>
    </w:p>
    <w:p>
      <w:pPr>
        <w:pStyle w:val="IndiceNivel2"/>
      </w:pPr>
      <w:r>
        <w:t>8.2 Derechos y restricciones</w:t>
      </w:r>
      <w:r>
        <w:rPr>
          <w:i/>
        </w:rPr>
        <w:t xml:space="preserve"> — </w:t>
      </w:r>
      <w:r>
        <w:rPr>
          <w:i/>
          <w:sz w:val="18"/>
        </w:rPr>
        <w:t>Modelo de derechos, cargas, servidumbres y afectaciones como estados registrables.</w:t>
      </w:r>
    </w:p>
    <w:p>
      <w:pPr>
        <w:pStyle w:val="IndiceNivel2"/>
      </w:pPr>
      <w:r>
        <w:t>8.3 Operaciones registrales</w:t>
      </w:r>
      <w:r>
        <w:rPr>
          <w:i/>
        </w:rPr>
        <w:t xml:space="preserve"> — </w:t>
      </w:r>
      <w:r>
        <w:rPr>
          <w:i/>
          <w:sz w:val="18"/>
        </w:rPr>
        <w:t>Alta, transferencia, modificación, corrección, división y cancelación.</w:t>
      </w:r>
    </w:p>
    <w:p>
      <w:pPr>
        <w:pStyle w:val="IndiceNivel2"/>
      </w:pPr>
      <w:r>
        <w:t>8.4 Vinculación con evidencia</w:t>
      </w:r>
      <w:r>
        <w:rPr>
          <w:i/>
        </w:rPr>
        <w:t xml:space="preserve"> — </w:t>
      </w:r>
      <w:r>
        <w:rPr>
          <w:i/>
          <w:sz w:val="18"/>
        </w:rPr>
        <w:t>Relación entre acto registral, medición y documentos de respaldo.</w:t>
      </w:r>
    </w:p>
    <w:p>
      <w:pPr>
        <w:pStyle w:val="IndiceNivel1"/>
      </w:pPr>
      <w:r>
        <w:t>9. Historial territorial reproducible</w:t>
      </w:r>
    </w:p>
    <w:p>
      <w:pPr>
        <w:pStyle w:val="IndiceNivel2"/>
      </w:pPr>
      <w:r>
        <w:t>9.1 Libro de estados territoriales</w:t>
      </w:r>
      <w:r>
        <w:rPr>
          <w:i/>
        </w:rPr>
        <w:t xml:space="preserve"> — </w:t>
      </w:r>
      <w:r>
        <w:rPr>
          <w:i/>
          <w:sz w:val="18"/>
        </w:rPr>
        <w:t>Registro versionado del estado de cada objeto.</w:t>
      </w:r>
    </w:p>
    <w:p>
      <w:pPr>
        <w:pStyle w:val="IndiceNivel2"/>
      </w:pPr>
      <w:r>
        <w:t>9.2 Línea de tiempo</w:t>
      </w:r>
      <w:r>
        <w:rPr>
          <w:i/>
        </w:rPr>
        <w:t xml:space="preserve"> — </w:t>
      </w:r>
      <w:r>
        <w:rPr>
          <w:i/>
          <w:sz w:val="18"/>
        </w:rPr>
        <w:t>Secuencia de eventos, mediciones y transformaciones.</w:t>
      </w:r>
    </w:p>
    <w:p>
      <w:pPr>
        <w:pStyle w:val="IndiceNivel2"/>
      </w:pPr>
      <w:r>
        <w:t>9.3 Reproducción histórica</w:t>
      </w:r>
      <w:r>
        <w:rPr>
          <w:i/>
        </w:rPr>
        <w:t xml:space="preserve"> — </w:t>
      </w:r>
      <w:r>
        <w:rPr>
          <w:i/>
          <w:sz w:val="18"/>
        </w:rPr>
        <w:t>Reconstrucción de un estado territorial en una fecha determinada.</w:t>
      </w:r>
    </w:p>
    <w:p>
      <w:pPr>
        <w:pStyle w:val="IndiceNivel2"/>
      </w:pPr>
      <w:r>
        <w:t>9.4 Desplazamientos y cambios de referencia</w:t>
      </w:r>
      <w:r>
        <w:rPr>
          <w:i/>
        </w:rPr>
        <w:t xml:space="preserve"> — </w:t>
      </w:r>
      <w:r>
        <w:rPr>
          <w:i/>
          <w:sz w:val="18"/>
        </w:rPr>
        <w:t>Distinción entre movimiento, actualización y transformación del marco de referencia.</w:t>
      </w:r>
    </w:p>
    <w:p>
      <w:pPr>
        <w:pStyle w:val="IndiceNivel1"/>
      </w:pPr>
      <w:r>
        <w:t>10. Red de nodos y consenso</w:t>
      </w:r>
    </w:p>
    <w:p>
      <w:pPr>
        <w:pStyle w:val="IndiceNivel2"/>
      </w:pPr>
      <w:r>
        <w:t>10.1 Nodo individual</w:t>
      </w:r>
      <w:r>
        <w:rPr>
          <w:i/>
        </w:rPr>
        <w:t xml:space="preserve"> — </w:t>
      </w:r>
      <w:r>
        <w:rPr>
          <w:i/>
          <w:sz w:val="18"/>
        </w:rPr>
        <w:t>Unidad básica de participación y custodia.</w:t>
      </w:r>
    </w:p>
    <w:p>
      <w:pPr>
        <w:pStyle w:val="IndiceNivel2"/>
      </w:pPr>
      <w:r>
        <w:t>10.2 Nodos territoriales</w:t>
      </w:r>
      <w:r>
        <w:rPr>
          <w:i/>
        </w:rPr>
        <w:t xml:space="preserve"> — </w:t>
      </w:r>
      <w:r>
        <w:rPr>
          <w:i/>
          <w:sz w:val="18"/>
        </w:rPr>
        <w:t>Nodos asociados a anclas, catastros y operaciones locales.</w:t>
      </w:r>
    </w:p>
    <w:p>
      <w:pPr>
        <w:pStyle w:val="IndiceNivel2"/>
      </w:pPr>
      <w:r>
        <w:t>10.3 Consenso principal</w:t>
      </w:r>
      <w:r>
        <w:rPr>
          <w:i/>
        </w:rPr>
        <w:t xml:space="preserve"> — </w:t>
      </w:r>
      <w:r>
        <w:rPr>
          <w:i/>
          <w:sz w:val="18"/>
        </w:rPr>
        <w:t>Reglas comunes de integridad, custodia y orden de operaciones.</w:t>
      </w:r>
    </w:p>
    <w:p>
      <w:pPr>
        <w:pStyle w:val="IndiceNivel2"/>
      </w:pPr>
      <w:r>
        <w:t>10.4 Motores especializados</w:t>
      </w:r>
      <w:r>
        <w:rPr>
          <w:i/>
        </w:rPr>
        <w:t xml:space="preserve"> — </w:t>
      </w:r>
      <w:r>
        <w:rPr>
          <w:i/>
          <w:sz w:val="18"/>
        </w:rPr>
        <w:t>Motor catastral, registral, jurídico, financiero, tributario u otros dominios.</w:t>
      </w:r>
    </w:p>
    <w:p>
      <w:pPr>
        <w:pStyle w:val="IndiceNivel2"/>
      </w:pPr>
      <w:r>
        <w:t>10.5 Evidencia y auditoría</w:t>
      </w:r>
      <w:r>
        <w:rPr>
          <w:i/>
        </w:rPr>
        <w:t xml:space="preserve"> — </w:t>
      </w:r>
      <w:r>
        <w:rPr>
          <w:i/>
          <w:sz w:val="18"/>
        </w:rPr>
        <w:t>Trazabilidad criptográfica, firmas, pruebas y revisión.</w:t>
      </w:r>
    </w:p>
    <w:p>
      <w:pPr>
        <w:pStyle w:val="IndiceNivel1"/>
      </w:pPr>
      <w:r>
        <w:t>11. Arquitectura digital</w:t>
      </w:r>
    </w:p>
    <w:p>
      <w:pPr>
        <w:pStyle w:val="IndiceNivel2"/>
      </w:pPr>
      <w:r>
        <w:t>11.1 Modelo de datos</w:t>
      </w:r>
      <w:r>
        <w:rPr>
          <w:i/>
        </w:rPr>
        <w:t xml:space="preserve"> — </w:t>
      </w:r>
      <w:r>
        <w:rPr>
          <w:i/>
          <w:sz w:val="18"/>
        </w:rPr>
        <w:t>Objetos, relaciones, identificadores y estados.</w:t>
      </w:r>
    </w:p>
    <w:p>
      <w:pPr>
        <w:pStyle w:val="IndiceNivel2"/>
      </w:pPr>
      <w:r>
        <w:t>11.2 Registro distribuido</w:t>
      </w:r>
      <w:r>
        <w:rPr>
          <w:i/>
        </w:rPr>
        <w:t xml:space="preserve"> — </w:t>
      </w:r>
      <w:r>
        <w:rPr>
          <w:i/>
          <w:sz w:val="18"/>
        </w:rPr>
        <w:t>Estructura de bloques, eventos y referencias.</w:t>
      </w:r>
    </w:p>
    <w:p>
      <w:pPr>
        <w:pStyle w:val="IndiceNivel2"/>
      </w:pPr>
      <w:r>
        <w:t>11.3 Identidad y criptografía</w:t>
      </w:r>
      <w:r>
        <w:rPr>
          <w:i/>
        </w:rPr>
        <w:t xml:space="preserve"> — </w:t>
      </w:r>
      <w:r>
        <w:rPr>
          <w:i/>
          <w:sz w:val="18"/>
        </w:rPr>
        <w:t>Identidad de personas, nodos, anclas e instrumentos.</w:t>
      </w:r>
    </w:p>
    <w:p>
      <w:pPr>
        <w:pStyle w:val="IndiceNivel2"/>
      </w:pPr>
      <w:r>
        <w:t>11.4 Interfaces de consulta</w:t>
      </w:r>
      <w:r>
        <w:rPr>
          <w:i/>
        </w:rPr>
        <w:t xml:space="preserve"> — </w:t>
      </w:r>
      <w:r>
        <w:rPr>
          <w:i/>
          <w:sz w:val="18"/>
        </w:rPr>
        <w:t>Mapas, catastros, libros de propiedades y herramientas de verificación.</w:t>
      </w:r>
    </w:p>
    <w:p>
      <w:pPr>
        <w:pStyle w:val="IndiceNivel1"/>
      </w:pPr>
      <w:r>
        <w:t>12. Referencias geodésicas y orbitales</w:t>
      </w:r>
    </w:p>
    <w:p>
      <w:pPr>
        <w:pStyle w:val="IndiceNivel2"/>
      </w:pPr>
      <w:r>
        <w:t>12.1 Referencia espacial</w:t>
      </w:r>
      <w:r>
        <w:rPr>
          <w:i/>
        </w:rPr>
        <w:t xml:space="preserve"> — </w:t>
      </w:r>
      <w:r>
        <w:rPr>
          <w:i/>
          <w:sz w:val="18"/>
        </w:rPr>
        <w:t>Relación con marcos geodésicos existentes.</w:t>
      </w:r>
    </w:p>
    <w:p>
      <w:pPr>
        <w:pStyle w:val="IndiceNivel2"/>
      </w:pPr>
      <w:r>
        <w:t>12.2 Referencia temporal</w:t>
      </w:r>
      <w:r>
        <w:rPr>
          <w:i/>
        </w:rPr>
        <w:t xml:space="preserve"> — </w:t>
      </w:r>
      <w:r>
        <w:rPr>
          <w:i/>
          <w:sz w:val="18"/>
        </w:rPr>
        <w:t>Sincronización y época de observación.</w:t>
      </w:r>
    </w:p>
    <w:p>
      <w:pPr>
        <w:pStyle w:val="IndiceNivel2"/>
      </w:pPr>
      <w:r>
        <w:t>12.3 Infraestructura orbital</w:t>
      </w:r>
      <w:r>
        <w:rPr>
          <w:i/>
        </w:rPr>
        <w:t xml:space="preserve"> — </w:t>
      </w:r>
      <w:r>
        <w:rPr>
          <w:i/>
          <w:sz w:val="18"/>
        </w:rPr>
        <w:t>Uso conceptual de constelaciones y mediciones satelitales como fuente de referencia.</w:t>
      </w:r>
    </w:p>
    <w:p>
      <w:pPr>
        <w:pStyle w:val="IndiceNivel2"/>
      </w:pPr>
      <w:r>
        <w:t>12.4 Integración con anclas terrestres</w:t>
      </w:r>
      <w:r>
        <w:rPr>
          <w:i/>
        </w:rPr>
        <w:t xml:space="preserve"> — </w:t>
      </w:r>
      <w:r>
        <w:rPr>
          <w:i/>
          <w:sz w:val="18"/>
        </w:rPr>
        <w:t>Transferencia de referencia orbital al sistema terrestre.</w:t>
      </w:r>
    </w:p>
    <w:p>
      <w:pPr>
        <w:pStyle w:val="IndiceNivel1"/>
      </w:pPr>
      <w:r>
        <w:t>13. Gobierno, custodia y modelo institucional</w:t>
      </w:r>
    </w:p>
    <w:p>
      <w:pPr>
        <w:pStyle w:val="IndiceNivel2"/>
      </w:pPr>
      <w:r>
        <w:t>13.1 Roles y custodios</w:t>
      </w:r>
      <w:r>
        <w:rPr>
          <w:i/>
        </w:rPr>
        <w:t xml:space="preserve"> — </w:t>
      </w:r>
      <w:r>
        <w:rPr>
          <w:i/>
          <w:sz w:val="18"/>
        </w:rPr>
        <w:t>Responsabilidades de propietarios, topógrafos, instituciones y nodos.</w:t>
      </w:r>
    </w:p>
    <w:p>
      <w:pPr>
        <w:pStyle w:val="IndiceNivel2"/>
      </w:pPr>
      <w:r>
        <w:t>13.2 Reglas de validación</w:t>
      </w:r>
      <w:r>
        <w:rPr>
          <w:i/>
        </w:rPr>
        <w:t xml:space="preserve"> — </w:t>
      </w:r>
      <w:r>
        <w:rPr>
          <w:i/>
          <w:sz w:val="18"/>
        </w:rPr>
        <w:t>Quién puede observar, certificar, registrar o impugnar.</w:t>
      </w:r>
    </w:p>
    <w:p>
      <w:pPr>
        <w:pStyle w:val="IndiceNivel2"/>
      </w:pPr>
      <w:r>
        <w:t>13.3 Transparencia y auditoría</w:t>
      </w:r>
      <w:r>
        <w:rPr>
          <w:i/>
        </w:rPr>
        <w:t xml:space="preserve"> — </w:t>
      </w:r>
      <w:r>
        <w:rPr>
          <w:i/>
          <w:sz w:val="18"/>
        </w:rPr>
        <w:t>Acceso, trazabilidad y mecanismos de revisión.</w:t>
      </w:r>
    </w:p>
    <w:p>
      <w:pPr>
        <w:pStyle w:val="IndiceNivel2"/>
      </w:pPr>
      <w:r>
        <w:t>13.4 Interoperabilidad institucional</w:t>
      </w:r>
      <w:r>
        <w:rPr>
          <w:i/>
        </w:rPr>
        <w:t xml:space="preserve"> — </w:t>
      </w:r>
      <w:r>
        <w:rPr>
          <w:i/>
          <w:sz w:val="18"/>
        </w:rPr>
        <w:t>Relación con registros públicos, catastros y sistemas existentes.</w:t>
      </w:r>
    </w:p>
    <w:p>
      <w:pPr>
        <w:pStyle w:val="IndiceNivel1"/>
      </w:pPr>
      <w:r>
        <w:t>14. Modelo de negocio y economía del sistema</w:t>
      </w:r>
    </w:p>
    <w:p>
      <w:pPr>
        <w:pStyle w:val="IndiceNivel2"/>
      </w:pPr>
      <w:r>
        <w:t>14.1 Servicios de referencia</w:t>
      </w:r>
      <w:r>
        <w:rPr>
          <w:i/>
        </w:rPr>
        <w:t xml:space="preserve"> — </w:t>
      </w:r>
      <w:r>
        <w:rPr>
          <w:i/>
          <w:sz w:val="18"/>
        </w:rPr>
        <w:t>Servicios asociados a localización, medición y validación.</w:t>
      </w:r>
    </w:p>
    <w:p>
      <w:pPr>
        <w:pStyle w:val="IndiceNivel2"/>
      </w:pPr>
      <w:r>
        <w:t>14.2 Servicios registrales</w:t>
      </w:r>
      <w:r>
        <w:rPr>
          <w:i/>
        </w:rPr>
        <w:t xml:space="preserve"> — </w:t>
      </w:r>
      <w:r>
        <w:rPr>
          <w:i/>
          <w:sz w:val="18"/>
        </w:rPr>
        <w:t>Operaciones y herramientas para instituciones y usuarios.</w:t>
      </w:r>
    </w:p>
    <w:p>
      <w:pPr>
        <w:pStyle w:val="IndiceNivel2"/>
      </w:pPr>
      <w:r>
        <w:t>14.3 Liquidación y multi-moneda</w:t>
      </w:r>
      <w:r>
        <w:rPr>
          <w:i/>
        </w:rPr>
        <w:t xml:space="preserve"> — </w:t>
      </w:r>
      <w:r>
        <w:rPr>
          <w:i/>
          <w:sz w:val="18"/>
        </w:rPr>
        <w:t>Motores contables y liquidación de obligaciones cuando corresponda.</w:t>
      </w:r>
    </w:p>
    <w:p>
      <w:pPr>
        <w:pStyle w:val="IndiceNivel2"/>
      </w:pPr>
      <w:r>
        <w:t>14.4 Escalabilidad y sostenibilidad</w:t>
      </w:r>
      <w:r>
        <w:rPr>
          <w:i/>
        </w:rPr>
        <w:t xml:space="preserve"> — </w:t>
      </w:r>
      <w:r>
        <w:rPr>
          <w:i/>
          <w:sz w:val="18"/>
        </w:rPr>
        <w:t>Infraestructura, costos, incentivos y expansión territorial.</w:t>
      </w:r>
    </w:p>
    <w:p>
      <w:pPr>
        <w:pStyle w:val="IndiceNivel1"/>
      </w:pPr>
      <w:r>
        <w:t>15. Aplicaciones y casos de uso</w:t>
      </w:r>
    </w:p>
    <w:p>
      <w:pPr>
        <w:pStyle w:val="IndiceNivel2"/>
      </w:pPr>
      <w:r>
        <w:t>15.1 Catastro parcelario</w:t>
      </w:r>
      <w:r>
        <w:rPr>
          <w:i/>
        </w:rPr>
        <w:t xml:space="preserve"> — </w:t>
      </w:r>
      <w:r>
        <w:rPr>
          <w:i/>
          <w:sz w:val="18"/>
        </w:rPr>
        <w:t>Levantamiento y registro de lotes.</w:t>
      </w:r>
    </w:p>
    <w:p>
      <w:pPr>
        <w:pStyle w:val="IndiceNivel2"/>
      </w:pPr>
      <w:r>
        <w:t>15.2 Registro de propiedad</w:t>
      </w:r>
      <w:r>
        <w:rPr>
          <w:i/>
        </w:rPr>
        <w:t xml:space="preserve"> — </w:t>
      </w:r>
      <w:r>
        <w:rPr>
          <w:i/>
          <w:sz w:val="18"/>
        </w:rPr>
        <w:t>Ciclo de vida de derechos sobre inmuebles.</w:t>
      </w:r>
    </w:p>
    <w:p>
      <w:pPr>
        <w:pStyle w:val="IndiceNivel2"/>
      </w:pPr>
      <w:r>
        <w:t>15.3 Urbanismo y arquitectura</w:t>
      </w:r>
      <w:r>
        <w:rPr>
          <w:i/>
        </w:rPr>
        <w:t xml:space="preserve"> — </w:t>
      </w:r>
      <w:r>
        <w:rPr>
          <w:i/>
          <w:sz w:val="18"/>
        </w:rPr>
        <w:t>Aplicación para planificación, construcción y mantenimiento.</w:t>
      </w:r>
    </w:p>
    <w:p>
      <w:pPr>
        <w:pStyle w:val="IndiceNivel2"/>
      </w:pPr>
      <w:r>
        <w:t>15.4 Infraestructura pública</w:t>
      </w:r>
      <w:r>
        <w:rPr>
          <w:i/>
        </w:rPr>
        <w:t xml:space="preserve"> — </w:t>
      </w:r>
      <w:r>
        <w:rPr>
          <w:i/>
          <w:sz w:val="18"/>
        </w:rPr>
        <w:t>Carreteras, redes, servicios y activos territoriales.</w:t>
      </w:r>
    </w:p>
    <w:p>
      <w:pPr>
        <w:pStyle w:val="IndiceNivel2"/>
      </w:pPr>
      <w:r>
        <w:t>15.5 Gestión de impuestos y obligaciones</w:t>
      </w:r>
      <w:r>
        <w:rPr>
          <w:i/>
        </w:rPr>
        <w:t xml:space="preserve"> — </w:t>
      </w:r>
      <w:r>
        <w:rPr>
          <w:i/>
          <w:sz w:val="18"/>
        </w:rPr>
        <w:t>Uso de los objetos registrales como base de liquidación.</w:t>
      </w:r>
    </w:p>
    <w:p>
      <w:pPr>
        <w:pStyle w:val="IndiceNivel1"/>
      </w:pPr>
      <w:r>
        <w:t>16. Metodología de implementación</w:t>
      </w:r>
    </w:p>
    <w:p>
      <w:pPr>
        <w:pStyle w:val="IndiceNivel2"/>
      </w:pPr>
      <w:r>
        <w:t>16.1 Piloto territorial</w:t>
      </w:r>
      <w:r>
        <w:rPr>
          <w:i/>
        </w:rPr>
        <w:t xml:space="preserve"> — </w:t>
      </w:r>
      <w:r>
        <w:rPr>
          <w:i/>
          <w:sz w:val="18"/>
        </w:rPr>
        <w:t>Selección de un área y red inicial de anclas.</w:t>
      </w:r>
    </w:p>
    <w:p>
      <w:pPr>
        <w:pStyle w:val="IndiceNivel2"/>
      </w:pPr>
      <w:r>
        <w:t>16.2 Calibración y levantamiento</w:t>
      </w:r>
      <w:r>
        <w:rPr>
          <w:i/>
        </w:rPr>
        <w:t xml:space="preserve"> — </w:t>
      </w:r>
      <w:r>
        <w:rPr>
          <w:i/>
          <w:sz w:val="18"/>
        </w:rPr>
        <w:t>Procedimientos de campo y validación.</w:t>
      </w:r>
    </w:p>
    <w:p>
      <w:pPr>
        <w:pStyle w:val="IndiceNivel2"/>
      </w:pPr>
      <w:r>
        <w:t>16.3 Migración de registros</w:t>
      </w:r>
      <w:r>
        <w:rPr>
          <w:i/>
        </w:rPr>
        <w:t xml:space="preserve"> — </w:t>
      </w:r>
      <w:r>
        <w:rPr>
          <w:i/>
          <w:sz w:val="18"/>
        </w:rPr>
        <w:t>Integración progresiva de información existente.</w:t>
      </w:r>
    </w:p>
    <w:p>
      <w:pPr>
        <w:pStyle w:val="IndiceNivel2"/>
      </w:pPr>
      <w:r>
        <w:t>16.4 Operación y mantenimiento</w:t>
      </w:r>
      <w:r>
        <w:rPr>
          <w:i/>
        </w:rPr>
        <w:t xml:space="preserve"> — </w:t>
      </w:r>
      <w:r>
        <w:rPr>
          <w:i/>
          <w:sz w:val="18"/>
        </w:rPr>
        <w:t>Actualización de anclas, nodos, paths y registros.</w:t>
      </w:r>
    </w:p>
    <w:p>
      <w:pPr>
        <w:pStyle w:val="IndiceNivel1"/>
      </w:pPr>
      <w:r>
        <w:t>17. Validación, riesgos y límites</w:t>
      </w:r>
    </w:p>
    <w:p>
      <w:pPr>
        <w:pStyle w:val="IndiceNivel2"/>
      </w:pPr>
      <w:r>
        <w:t>17.1 Validación técnica</w:t>
      </w:r>
      <w:r>
        <w:rPr>
          <w:i/>
        </w:rPr>
        <w:t xml:space="preserve"> — </w:t>
      </w:r>
      <w:r>
        <w:rPr>
          <w:i/>
          <w:sz w:val="18"/>
        </w:rPr>
        <w:t>Precisión, repetibilidad, disponibilidad y consistencia.</w:t>
      </w:r>
    </w:p>
    <w:p>
      <w:pPr>
        <w:pStyle w:val="IndiceNivel2"/>
      </w:pPr>
      <w:r>
        <w:t>17.2 Riesgos de medición</w:t>
      </w:r>
      <w:r>
        <w:rPr>
          <w:i/>
        </w:rPr>
        <w:t xml:space="preserve"> — </w:t>
      </w:r>
      <w:r>
        <w:rPr>
          <w:i/>
          <w:sz w:val="18"/>
        </w:rPr>
        <w:t>Errores instrumentales, ambientales y humanos.</w:t>
      </w:r>
    </w:p>
    <w:p>
      <w:pPr>
        <w:pStyle w:val="IndiceNivel2"/>
      </w:pPr>
      <w:r>
        <w:t>17.3 Riesgos de infraestructura</w:t>
      </w:r>
      <w:r>
        <w:rPr>
          <w:i/>
        </w:rPr>
        <w:t xml:space="preserve"> — </w:t>
      </w:r>
      <w:r>
        <w:rPr>
          <w:i/>
          <w:sz w:val="18"/>
        </w:rPr>
        <w:t>Fallo de nodos, anclas, comunicaciones o software.</w:t>
      </w:r>
    </w:p>
    <w:p>
      <w:pPr>
        <w:pStyle w:val="IndiceNivel2"/>
      </w:pPr>
      <w:r>
        <w:t>17.4 Límites jurídicos e institucionales</w:t>
      </w:r>
      <w:r>
        <w:rPr>
          <w:i/>
        </w:rPr>
        <w:t xml:space="preserve"> — </w:t>
      </w:r>
      <w:r>
        <w:rPr>
          <w:i/>
          <w:sz w:val="18"/>
        </w:rPr>
        <w:t>Dependencias regulatorias y procedimientos que deben permanecer bajo autoridad competente.</w:t>
      </w:r>
    </w:p>
    <w:p>
      <w:pPr>
        <w:pStyle w:val="IndiceNivel1"/>
      </w:pPr>
      <w:r>
        <w:t>18. Programa de investigación y desarrollo</w:t>
      </w:r>
    </w:p>
    <w:p>
      <w:pPr>
        <w:pStyle w:val="IndiceNivel2"/>
      </w:pPr>
      <w:r>
        <w:t>18.1 Prototipo de ancla</w:t>
      </w:r>
      <w:r>
        <w:rPr>
          <w:i/>
        </w:rPr>
        <w:t xml:space="preserve"> — </w:t>
      </w:r>
      <w:r>
        <w:rPr>
          <w:i/>
          <w:sz w:val="18"/>
        </w:rPr>
        <w:t>Diseño físico y electrónico.</w:t>
      </w:r>
    </w:p>
    <w:p>
      <w:pPr>
        <w:pStyle w:val="IndiceNivel2"/>
      </w:pPr>
      <w:r>
        <w:t>18.2 Prototipo de estaca</w:t>
      </w:r>
      <w:r>
        <w:rPr>
          <w:i/>
        </w:rPr>
        <w:t xml:space="preserve"> — </w:t>
      </w:r>
      <w:r>
        <w:rPr>
          <w:i/>
          <w:sz w:val="18"/>
        </w:rPr>
        <w:t>Unidad local de medición.</w:t>
      </w:r>
    </w:p>
    <w:p>
      <w:pPr>
        <w:pStyle w:val="IndiceNivel2"/>
      </w:pPr>
      <w:r>
        <w:t>18.3 Motor de paths</w:t>
      </w:r>
      <w:r>
        <w:rPr>
          <w:i/>
        </w:rPr>
        <w:t xml:space="preserve"> — </w:t>
      </w:r>
      <w:r>
        <w:rPr>
          <w:i/>
          <w:sz w:val="18"/>
        </w:rPr>
        <w:t>Algoritmos de generación, referencia y consulta.</w:t>
      </w:r>
    </w:p>
    <w:p>
      <w:pPr>
        <w:pStyle w:val="IndiceNivel2"/>
      </w:pPr>
      <w:r>
        <w:t>18.4 Nodo territorial</w:t>
      </w:r>
      <w:r>
        <w:rPr>
          <w:i/>
        </w:rPr>
        <w:t xml:space="preserve"> — </w:t>
      </w:r>
      <w:r>
        <w:rPr>
          <w:i/>
          <w:sz w:val="18"/>
        </w:rPr>
        <w:t>Arquitectura física y digital del nodo.</w:t>
      </w:r>
    </w:p>
    <w:p>
      <w:pPr>
        <w:pStyle w:val="IndiceNivel2"/>
      </w:pPr>
      <w:r>
        <w:t>18.5 Demostrador catastral</w:t>
      </w:r>
      <w:r>
        <w:rPr>
          <w:i/>
        </w:rPr>
        <w:t xml:space="preserve"> — </w:t>
      </w:r>
      <w:r>
        <w:rPr>
          <w:i/>
          <w:sz w:val="18"/>
        </w:rPr>
        <w:t>Cadena completa desde medición hasta registro.</w:t>
      </w:r>
    </w:p>
    <w:p>
      <w:pPr>
        <w:pStyle w:val="IndiceNivel1"/>
      </w:pPr>
      <w:r>
        <w:t>19. Conclusiones y proyección</w:t>
      </w:r>
    </w:p>
    <w:p>
      <w:pPr>
        <w:pStyle w:val="IndiceNivel2"/>
      </w:pPr>
      <w:r>
        <w:t>19.1 Síntesis del sistema</w:t>
      </w:r>
      <w:r>
        <w:rPr>
          <w:i/>
        </w:rPr>
        <w:t xml:space="preserve"> — </w:t>
      </w:r>
      <w:r>
        <w:rPr>
          <w:i/>
          <w:sz w:val="18"/>
        </w:rPr>
        <w:t>Relación entre localización, medición, registro y consenso.</w:t>
      </w:r>
    </w:p>
    <w:p>
      <w:pPr>
        <w:pStyle w:val="IndiceNivel2"/>
      </w:pPr>
      <w:r>
        <w:t>19.2 Aportes conceptuales</w:t>
      </w:r>
      <w:r>
        <w:rPr>
          <w:i/>
        </w:rPr>
        <w:t xml:space="preserve"> — </w:t>
      </w:r>
      <w:r>
        <w:rPr>
          <w:i/>
          <w:sz w:val="18"/>
        </w:rPr>
        <w:t>Contribuciones a arquitectura, urbanismo, catastro y sistemas descentralizados.</w:t>
      </w:r>
    </w:p>
    <w:p>
      <w:pPr>
        <w:pStyle w:val="IndiceNivel2"/>
      </w:pPr>
      <w:r>
        <w:t>19.3 Líneas futuras</w:t>
      </w:r>
      <w:r>
        <w:rPr>
          <w:i/>
        </w:rPr>
        <w:t xml:space="preserve"> — </w:t>
      </w:r>
      <w:r>
        <w:rPr>
          <w:i/>
          <w:sz w:val="18"/>
        </w:rPr>
        <w:t>Extensiones científicas, técnicas e institucionales.</w:t>
      </w:r>
    </w:p>
    <w:p>
      <w:pPr>
        <w:pStyle w:val="IndiceNivel1"/>
      </w:pPr>
      <w:r>
        <w:t>20. Anexos</w:t>
      </w:r>
    </w:p>
    <w:p>
      <w:pPr>
        <w:pStyle w:val="IndiceNivel2"/>
      </w:pPr>
      <w:r>
        <w:t>20.1 Diagramas de arquitectura</w:t>
      </w:r>
      <w:r>
        <w:rPr>
          <w:i/>
        </w:rPr>
        <w:t xml:space="preserve"> — </w:t>
      </w:r>
      <w:r>
        <w:rPr>
          <w:i/>
          <w:sz w:val="18"/>
        </w:rPr>
        <w:t>Esquemas físicos, digitales y territoriales.</w:t>
      </w:r>
    </w:p>
    <w:p>
      <w:pPr>
        <w:pStyle w:val="IndiceNivel2"/>
      </w:pPr>
      <w:r>
        <w:t>20.2 Especificaciones técnicas</w:t>
      </w:r>
      <w:r>
        <w:rPr>
          <w:i/>
        </w:rPr>
        <w:t xml:space="preserve"> — </w:t>
      </w:r>
      <w:r>
        <w:rPr>
          <w:i/>
          <w:sz w:val="18"/>
        </w:rPr>
        <w:t>Protocolos, formatos y estructuras de datos.</w:t>
      </w:r>
    </w:p>
    <w:p>
      <w:pPr>
        <w:pStyle w:val="IndiceNivel2"/>
      </w:pPr>
      <w:r>
        <w:t>20.3 Ejemplos de levantamiento</w:t>
      </w:r>
      <w:r>
        <w:rPr>
          <w:i/>
        </w:rPr>
        <w:t xml:space="preserve"> — </w:t>
      </w:r>
      <w:r>
        <w:rPr>
          <w:i/>
          <w:sz w:val="18"/>
        </w:rPr>
        <w:t>Casos paso a paso y trazas de medición.</w:t>
      </w:r>
    </w:p>
    <w:p>
      <w:pPr>
        <w:pStyle w:val="IndiceNivel2"/>
      </w:pPr>
      <w:r>
        <w:t>20.4 Glosario ampliado y referencias</w:t>
      </w:r>
      <w:r>
        <w:rPr>
          <w:i/>
        </w:rPr>
        <w:t xml:space="preserve"> — </w:t>
      </w:r>
      <w:r>
        <w:rPr>
          <w:i/>
          <w:sz w:val="18"/>
        </w:rPr>
        <w:t>Bibliografía, normas y documentación complementaria.</w:t>
      </w:r>
    </w:p>
    <w:p>
      <w:pPr>
        <w:spacing w:before="240"/>
      </w:pPr>
      <w:r>
        <w:rPr>
          <w:b/>
        </w:rPr>
        <w:t xml:space="preserve">Nota de estructura: </w:t>
      </w:r>
      <w:r>
        <w:t>este índice está pensado como documento maestro. Los capítulos pueden desarrollarse como módulos independientes y luego integrarse en una versión técnica, una memoria de tesis, un white paper o una especificación de protocolo.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Documento de estructura · Versión 0.1 · 22 septiembre 2026 · UTC−06:00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6"/>
      </w:rPr>
      <w:t>CONSENSOS · ESTRUCTURA MAESTRA DEL DOCUMENTO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eNivel1">
    <w:name w:val="IndiceNivel1"/>
    <w:pPr>
      <w:spacing w:after="80" w:line="252" w:lineRule="auto"/>
      <w:ind w:left="0"/>
    </w:pPr>
    <w:rPr>
      <w:rFonts w:ascii="Aptos" w:hAnsi="Aptos"/>
      <w:b/>
      <w:sz w:val="24"/>
    </w:rPr>
  </w:style>
  <w:style w:type="paragraph" w:customStyle="1" w:styleId="IndiceNivel2">
    <w:name w:val="IndiceNivel2"/>
    <w:pPr>
      <w:spacing w:after="80" w:line="252" w:lineRule="auto"/>
      <w:ind w:left="360"/>
    </w:pPr>
    <w:rPr>
      <w:rFonts w:ascii="Aptos" w:hAnsi="Aptos"/>
      <w:b w:val="0"/>
      <w:sz w:val="21"/>
    </w:rPr>
  </w:style>
  <w:style w:type="paragraph" w:customStyle="1" w:styleId="IndiceNivel3">
    <w:name w:val="IndiceNivel3"/>
    <w:pPr>
      <w:spacing w:after="80" w:line="252" w:lineRule="auto"/>
      <w:ind w:left="720"/>
    </w:pPr>
    <w:rPr>
      <w:rFonts w:ascii="Aptos" w:hAnsi="Aptos"/>
      <w:b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