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GESTIÓN DE REDES EN LA CLÍNICA SAN JUAN DE DIOS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Jualian David Henao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Cristian Feliepe Gallego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Alejandro Arias Gallo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Member, IEEE</w:t>
      </w:r>
      <w:r w:rsidDel="00000000" w:rsidR="00000000" w:rsidRPr="00000000">
        <w:rPr>
          <w:rtl w:val="0"/>
        </w:rPr>
      </w:r>
    </w:p>
    <w:p w:rsidR="00000000" w:rsidDel="00000000" w:rsidP="00000000" w:rsidRDefault="00000000" w:rsidRPr="00000000" w14:paraId="00000003">
      <w:pPr>
        <w:widowControl w:val="0"/>
        <w:contextualSpacing w:val="0"/>
        <w:rPr>
          <w:rFonts w:ascii="Times" w:cs="Times" w:eastAsia="Times" w:hAnsi="Times"/>
          <w:sz w:val="24"/>
          <w:szCs w:val="24"/>
          <w:vertAlign w:val="baseline"/>
        </w:rPr>
        <w:sectPr>
          <w:headerReference r:id="rId7" w:type="default"/>
          <w:pgSz w:h="15840" w:w="12240"/>
          <w:pgMar w:bottom="1008" w:top="1008" w:left="936" w:right="936" w:header="432" w:footer="432"/>
          <w:pgNumType w:start="1"/>
        </w:sectPr>
      </w:pPr>
      <w:r w:rsidDel="00000000" w:rsidR="00000000" w:rsidRPr="00000000">
        <w:rPr>
          <w:rtl w:val="0"/>
        </w:rPr>
      </w:r>
    </w:p>
    <w:p w:rsidR="00000000" w:rsidDel="00000000" w:rsidP="00000000" w:rsidRDefault="00000000" w:rsidRPr="00000000" w14:paraId="00000004">
      <w:pPr>
        <w:shd w:fill="ffffff" w:val="clear"/>
        <w:contextualSpacing w:val="0"/>
        <w:jc w:val="both"/>
        <w:rPr>
          <w:color w:val="333333"/>
          <w:vertAlign w:val="baseline"/>
        </w:rPr>
      </w:pPr>
      <w:r w:rsidDel="00000000" w:rsidR="00000000" w:rsidRPr="00000000">
        <w:rPr>
          <w:b w:val="1"/>
          <w:color w:val="333333"/>
          <w:vertAlign w:val="baseline"/>
          <w:rtl w:val="0"/>
        </w:rPr>
        <w:t xml:space="preserve">Abstract </w:t>
      </w:r>
      <w:r w:rsidDel="00000000" w:rsidR="00000000" w:rsidRPr="00000000">
        <w:rPr>
          <w:color w:val="333333"/>
          <w:rtl w:val="0"/>
        </w:rPr>
        <w:t xml:space="preserve">El objetivo principal de </w:t>
      </w:r>
      <w:r w:rsidDel="00000000" w:rsidR="00000000" w:rsidRPr="00000000">
        <w:rPr>
          <w:color w:val="ffffff"/>
          <w:rtl w:val="0"/>
        </w:rPr>
        <w:t xml:space="preserve">este trabajo fue diseñar una metod</w:t>
      </w:r>
      <w:r w:rsidDel="00000000" w:rsidR="00000000" w:rsidRPr="00000000">
        <w:rPr>
          <w:color w:val="333333"/>
          <w:rtl w:val="0"/>
        </w:rPr>
        <w:t xml:space="preserve">ología para la detección de vulnerabilidades en redes de datos. Para esto se desarrollaron diferentes etapas: valoración, ejecución e informe, cada una de las cuales es soportada por diferentes herramientas incluyendo los software(s) utilizados. Los resultados de cada etapa suministran datos necesarios para la ejecución de la investigación. Con el fin de validar la utilidad de la metodología propuesta se llevó a cabo su implementación en la red de datos perteneciente a la Unidad Empresarial de Base Logística de la Empresa de Construcción y Montaje de Pinar del Río, encontrando diferentes tipos de vulnerabilidades, apoyándose en los resultados obtenidos demostramos que la metodología propuesta es de gran utilidad para detectar vulnerabilidades en redes de datos, lo que demuestra su importancia para el área de la seguridad informática</w:t>
        <w:br w:type="textWrapping"/>
      </w:r>
      <w:r w:rsidDel="00000000" w:rsidR="00000000" w:rsidRPr="00000000">
        <w:rPr>
          <w:rtl w:val="0"/>
        </w:rPr>
      </w:r>
    </w:p>
    <w:p w:rsidR="00000000" w:rsidDel="00000000" w:rsidP="00000000" w:rsidRDefault="00000000" w:rsidRPr="00000000" w14:paraId="00000005">
      <w:pPr>
        <w:shd w:fill="ffffff" w:val="clear"/>
        <w:contextualSpacing w:val="0"/>
        <w:rPr>
          <w:color w:val="333333"/>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shd w:fill="ffffff" w:val="clear"/>
        <w:contextualSpacing w:val="0"/>
        <w:rPr>
          <w:color w:val="333333"/>
          <w:vertAlign w:val="baseline"/>
        </w:rPr>
      </w:pPr>
      <w:r w:rsidDel="00000000" w:rsidR="00000000" w:rsidRPr="00000000">
        <w:rPr>
          <w:color w:val="333333"/>
          <w:vertAlign w:val="baseline"/>
          <w:rtl w:val="0"/>
        </w:rPr>
        <w:t xml:space="preserve">Note: There should no nonstandard abbreviations, acknowledgments of support, references or footnotes in in the abstract. </w:t>
      </w:r>
    </w:p>
    <w:p w:rsidR="00000000" w:rsidDel="00000000" w:rsidP="00000000" w:rsidRDefault="00000000" w:rsidRPr="00000000" w14:paraId="00000008">
      <w:pPr>
        <w:contextualSpacing w:val="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09">
      <w:pPr>
        <w:widowControl w:val="0"/>
        <w:contextualSpacing w:val="0"/>
        <w:rPr>
          <w:rFonts w:ascii="Times" w:cs="Times" w:eastAsia="Times" w:hAnsi="Times"/>
          <w:sz w:val="24"/>
          <w:szCs w:val="24"/>
          <w:vertAlign w:val="baseline"/>
        </w:rPr>
        <w:sectPr>
          <w:type w:val="continuous"/>
          <w:pgSz w:h="15840" w:w="12240"/>
          <w:pgMar w:bottom="1008" w:top="1008" w:left="936" w:right="936" w:header="432" w:footer="432"/>
        </w:sectPr>
      </w:pPr>
      <w:r w:rsidDel="00000000" w:rsidR="00000000" w:rsidRPr="00000000">
        <w:rPr>
          <w:rtl w:val="0"/>
        </w:rPr>
      </w:r>
    </w:p>
    <w:p w:rsidR="00000000" w:rsidDel="00000000" w:rsidP="00000000" w:rsidRDefault="00000000" w:rsidRPr="00000000" w14:paraId="000000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r w:rsidDel="00000000" w:rsidR="00000000" w:rsidRPr="00000000">
        <w:rPr>
          <w:rFonts w:ascii="Times New Roman" w:cs="Times New Roman" w:eastAsia="Times New Roman" w:hAnsi="Times New Roman"/>
          <w:b w:val="0"/>
          <w:i w:val="0"/>
          <w:smallCaps w:val="1"/>
          <w:strike w:val="0"/>
          <w:color w:val="ffffff"/>
          <w:sz w:val="16"/>
          <w:szCs w:val="16"/>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Las smart grids han sido concebidas como la combinación de la red eléctrica tradicional (generación, transmisión, distribución, y comercialización, incluyendo las energías alternativas) con las redes de comunicaciones electrónicas. Este concepto revoluciona la administración, supervisión, y mantenimiento de la red eléctrica, volviéndola inteligente ante sobrecargas, caídas, apagones, caídas de tensión disminuyendo los tiempos de respuesta ante estos problemas. En este trabajo se analizan las tecnologías de redes de datos y comunicaciones electrónicas implicadas en este nuevo concepto de gestión eficiente de la electricidad. En la primera sección se abordan conceptos introductorios para entender las diferencias entre las redes eléctricas tradicionales y las smart grids, luego se realiza un análisis de las arquitecturas y requerimientos de diseño de una smart grid, para en la siguiente sección elaborar una revisión de las tecnologías de comunicaciones actualmente usadas en smart grids, para finalmente analizar los retos de diseño, líneas de investigación y estandarización actuales en las tecnologías de smart grids. En la última sección se anexan las conclusiones de la realización de este trabajo</w:t>
      </w:r>
      <w:r w:rsidDel="00000000" w:rsidR="00000000" w:rsidRPr="00000000">
        <w:rPr>
          <w:rtl w:val="0"/>
        </w:rPr>
      </w:r>
    </w:p>
    <w:p w:rsidR="00000000" w:rsidDel="00000000" w:rsidP="00000000" w:rsidRDefault="00000000" w:rsidRPr="00000000" w14:paraId="000000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smallCaps w:val="1"/>
          <w:rtl w:val="0"/>
        </w:rPr>
        <w:t xml:space="preserve">características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generales </w:t>
      </w:r>
    </w:p>
    <w:p w:rsidR="00000000" w:rsidDel="00000000" w:rsidP="00000000" w:rsidRDefault="00000000" w:rsidRPr="00000000" w14:paraId="0000000D">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Review Stage</w:t>
      </w:r>
    </w:p>
    <w:p w:rsidR="00000000" w:rsidDel="00000000" w:rsidP="00000000" w:rsidRDefault="00000000" w:rsidRPr="00000000" w14:paraId="0000000E">
      <w:pPr>
        <w:contextualSpacing w:val="0"/>
        <w:rPr>
          <w:rFonts w:ascii="Arial" w:cs="Arial" w:eastAsia="Arial" w:hAnsi="Arial"/>
          <w:color w:val="262626"/>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t xml:space="preserve">Principal de </w:t>
      </w:r>
      <w:r w:rsidDel="00000000" w:rsidR="00000000" w:rsidRPr="00000000">
        <w:rPr>
          <w:highlight w:val="white"/>
          <w:rtl w:val="0"/>
        </w:rPr>
        <w:t xml:space="preserve">este trabajo fue diseñar una metodolo</w:t>
      </w:r>
      <w:r w:rsidDel="00000000" w:rsidR="00000000" w:rsidRPr="00000000">
        <w:rPr>
          <w:rtl w:val="0"/>
        </w:rPr>
        <w:t xml:space="preserve">gía para la detección de vulnerabilidades en redes de datos. Para esto se desarrollaron diferentes fases llamadas reconocimiento, escaneo de puertos y enumeración de servicios, y escaneo de vulnerabilidades, cada una de las cuales es soportada por herramientas de software. Los resultados de cada fase suministran datos necesarios para la ejecución de las siguientes etapas. Con el fin de validar la utilidad de la metodología propuesta se llevó a cabo su implementación en la red de datos de la Universidad de Cartagena en Colombia, encontrando diferentes tipos de vulnerabilidades. Finalmente apoyándose en los resultados obtenidos, se encontró que la metodología propuesta es de gran utilidad para detectar vulnerabilidades en redes de datos, lo que demuestra su importancia para el área de la seguridad informática.</w:t>
      </w:r>
      <w:r w:rsidDel="00000000" w:rsidR="00000000" w:rsidRPr="00000000">
        <w:rPr>
          <w:rtl w:val="0"/>
        </w:rPr>
      </w:r>
    </w:p>
    <w:p w:rsidR="00000000" w:rsidDel="00000000" w:rsidP="00000000" w:rsidRDefault="00000000" w:rsidRPr="00000000" w14:paraId="00000010">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Final Stage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pPr>
      <w:r w:rsidDel="00000000" w:rsidR="00000000" w:rsidRPr="00000000">
        <w:rPr>
          <w:rtl w:val="0"/>
        </w:rPr>
        <w:t xml:space="preserve">La teoría de redes sociales ha sido ampliamente documentada en el contexto de la migración internacional. La mayoría de estas investigaciones se han centrado en la fuerza que demuestran los vínculos de parentesco y amistad en la atracción de migrantes. Sin embargo, pocos estudios han indagado, empíricamente, los procesos de configuración de las redes y su influencia estructural sobre los procesos de movilidad territorial. El objetivo de este artículo es emplear la metodología de Análisis de Redes Sociales, para identificar propiedades estructurales que pueden estar influyendo sobre la difusión del fenómeno migratorio en Venezuela, describir la estructura reticular de la migración calificada y su evolución hacia la configuración de una posible comunidad transnacional. Para ello datos de redes personales fueron recolectados entre marzo y mayo de 2016, entre una comunidad devenezolanos profesionales residenciados en París. Los resultados confirman que las redes personales de los entrevistados poseen focos de radiación de comportamiento migratorio en Venezuela, y aunque las estructuras reticulares se muestran algo dispersas, también presentan ciertos rasgos de expansión que dejan en evidencia la configuración de una comunidad transnacional de venezolanos en París.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drawing>
          <wp:inline distB="114300" distT="114300" distL="114300" distR="114300">
            <wp:extent cx="2800350" cy="348900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0350" cy="34890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imagen </w:t>
      </w:r>
      <w:r w:rsidDel="00000000" w:rsidR="00000000" w:rsidRPr="00000000">
        <w:rPr>
          <w:rtl w:val="0"/>
        </w:rPr>
        <w:t xml:space="preserve">observamos los swiches del cuarto técnico de la clinica San Juan de Dios.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i w:val="1"/>
        </w:rPr>
      </w:pPr>
      <w:r w:rsidDel="00000000" w:rsidR="00000000" w:rsidRPr="00000000">
        <w:rPr>
          <w:i w:val="1"/>
          <w:rtl w:val="0"/>
        </w:rPr>
        <w:t xml:space="preserve">trabajo de investigación muestra el desarrollo y la implementación de un protocolo de comunicaciones de capa superior que considera las capas de sesión, presentación y aplicación, el que será transportado por medio de cualquier trama Ethernet. Este protocolo tiene como principal objetivo monitorear y controlar la comunicación de nodos pertenecientes a una red HAN (SmartGrids) de manera no invasiva a nivel de capa física, utilizando redes de datos existentes donde el protocolo propuesto coexistirá. Este trabajo comienza con una breve definición del concepto SmartGrids y redes HAN, para continuar con una explicación del desarrollo teórico del protocolo, finalizando con la implementación y breve análisis de tráfico que mostrará el funcionamiento de dicho protocolo.</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i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color w:val="211d1e"/>
          <w:rtl w:val="0"/>
        </w:rPr>
        <w:t xml:space="preserve">El artículo está basado en un estudio descriptivo realizado con el objetivo de identificar las ventajas que les proporciona la plataforma virtual de enseñanza a un grupo de estudiantes de la Universidad de Extremadura y las diferencias que estos estudiantes encuentran entre dicha plataforma y las redes sociales. La recogida de datos fue realizada a través de la técnica de cuestionario de preguntas abiertas. Los resultados extraídos ponen de manifiesto la necesidad de mejorar las prestaciones de las plataformas virtuales de enseñanza con objeto de hacerlas más atractivas a los usuarios estudiantes.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highlight w:val="white"/>
          <w:rtl w:val="0"/>
        </w:rPr>
        <w:t xml:space="preserve">La mayoría de los estudios de redes personales (egocéntricas) describen las redes utilizando medidas que no son estructurales, recurriendo en su lugar a análisis de base-atributiva que resumen las relaciones de los encuestados con los miembros de la red. Los investigadores que han utilizado medidas estructurales lo han hecho con redes de menos de 10 miembros, que representan el núcleo de la red. Aunque se ha aprendido mucho centrándose en el análisis atributivo de los datos de redes personales, la aplicación de los análisis estructurales que tradicionalmente se han aplicado con datos de redes completas (sociocéntricas) puede resultar provechoso. La utilidad de este enfoque resulta evidente cuando la muestra elicitada de miembros de la red es relativamente grande. Cuarenta seis encuestados hicieron una lista libre de 60 miembros de la red y evaluaron la fuerza del lazo entre 1.770 pares de miembros. Los indicadores basados en grafos de de cohesión y subgrupos revelaron la variabilidad de la estructura de las redes personales. El análisis de clusters no jerárquicos generó subgrupos que fueron verificados a continuación por los encuestados como significativos. Posteriores análisis de la correlación entre los tipos de subgrupos y el solapamiento entre subgrupos demuestra cómo el análisis de cada red puede resumirse entre sujetos. Se presentan cuatro estudios de caso para ilustrar la riqueza de los datos y el valor de contrastar los resultados de la matriz individual con la norma </w:t>
      </w:r>
      <w:r w:rsidDel="00000000" w:rsidR="00000000" w:rsidRPr="00000000">
        <w:rPr>
          <w:rtl w:val="0"/>
        </w:rPr>
        <w:t xml:space="preserve">definida por los 45 sujetos.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El cometido del presente estudio es la identificación de las redes de conocimiento asociadas a la administración del conocimiento, basado en la actividad de detección, seguimiento y evaluación de las redes dentro de una organización. Las consideraciones principales giran en torno a la administración del conocimiento, las redes del conocimiento y el desempeño organizacional, el conocimiento mismo y la naturaleza de las redes. Desde un análisis cualitativo, orientado a la conformación de bases de datos, el seguimiento de las redes como comunidades y un análisis cuantitativo caracterizado desde la representación de la red hasta una estadística inferencial que permita ubicar la cohesión y la centralidad de los líderes, es que se propone el estudio de las redes de conocimiento asociadas al desempeño de las organizaciones, donde se puede localizar de manera específica los espacios en donde se pueden generar algunos tipos de conocimiento, requeridos o generados para una mejor administración del conocimiento de las organizaciones</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El advenimiento de las redes de próxima generación (NGN) es una realidad en el desarrollo de las telecomunicaciones. Si bien su introducción constituye un salto tecnológico, también representa un enorme reto desde el punto de vista de la seguridad. El presente artículo realiza un análisis integral sobre aspectos relacionados con la seguridad de estas redes. Inicialmente, se abordan las amenazas que se heredan de las redes telefónicas públicas conmutadas (PSTN), las redes de datos de protocolos de Internet (IP) y las redes de televisión, así como la forma en que éstas se combinan, para obtener las amenazas propias de las NGN. Luego, se analizan los mecanismos de defensa de las redes que convergen en las NGN para proponer los mecanismos de defensa aplicables a estas últimas, los principios de su combinación, así como los requerimientos de las herramientas de seguridad. El análisis presentado constituye un importante primer paso para organizar y hacer homogéneo el trabajo de seguridad en NGN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2533650" cy="527399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33650" cy="527399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Referencias Bibliograficas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27">
      <w:pPr>
        <w:ind w:left="720"/>
        <w:contextualSpacing w:val="0"/>
        <w:rPr>
          <w:rFonts w:ascii="Helvetica Neue" w:cs="Helvetica Neue" w:eastAsia="Helvetica Neue" w:hAnsi="Helvetica Neue"/>
          <w:color w:val="333333"/>
        </w:rPr>
      </w:pPr>
      <w:hyperlink r:id="rId10">
        <w:r w:rsidDel="00000000" w:rsidR="00000000" w:rsidRPr="00000000">
          <w:rPr>
            <w:rFonts w:ascii="Helvetica Neue" w:cs="Helvetica Neue" w:eastAsia="Helvetica Neue" w:hAnsi="Helvetica Neue"/>
            <w:color w:val="005bc6"/>
            <w:u w:val="single"/>
            <w:rtl w:val="0"/>
          </w:rPr>
          <w:t xml:space="preserve">Ingeniería y Competitividad</w:t>
        </w:r>
      </w:hyperlink>
      <w:r w:rsidDel="00000000" w:rsidR="00000000" w:rsidRPr="00000000">
        <w:rPr>
          <w:rFonts w:ascii="Helvetica Neue" w:cs="Helvetica Neue" w:eastAsia="Helvetica Neue" w:hAnsi="Helvetica Neue"/>
          <w:color w:val="333333"/>
          <w:rtl w:val="0"/>
        </w:rPr>
        <w:t xml:space="preserve">. Dec2006, Vol. 8 Issue 2, p7-16. 10p.</w:t>
      </w:r>
    </w:p>
    <w:p w:rsidR="00000000" w:rsidDel="00000000" w:rsidP="00000000" w:rsidRDefault="00000000" w:rsidRPr="00000000" w14:paraId="00000028">
      <w:pPr>
        <w:ind w:left="720"/>
        <w:contextualSpacing w:val="0"/>
        <w:rPr>
          <w:rFonts w:ascii="Helvetica Neue" w:cs="Helvetica Neue" w:eastAsia="Helvetica Neue" w:hAnsi="Helvetica Neue"/>
          <w:color w:val="333333"/>
        </w:rPr>
      </w:pPr>
      <w:hyperlink r:id="rId11">
        <w:r w:rsidDel="00000000" w:rsidR="00000000" w:rsidRPr="00000000">
          <w:rPr>
            <w:rFonts w:ascii="Helvetica Neue" w:cs="Helvetica Neue" w:eastAsia="Helvetica Neue" w:hAnsi="Helvetica Neue"/>
            <w:color w:val="005bc6"/>
            <w:u w:val="single"/>
            <w:rtl w:val="0"/>
          </w:rPr>
          <w:t xml:space="preserve">Tecnura</w:t>
        </w:r>
      </w:hyperlink>
      <w:r w:rsidDel="00000000" w:rsidR="00000000" w:rsidRPr="00000000">
        <w:rPr>
          <w:rFonts w:ascii="Helvetica Neue" w:cs="Helvetica Neue" w:eastAsia="Helvetica Neue" w:hAnsi="Helvetica Neue"/>
          <w:color w:val="333333"/>
          <w:rtl w:val="0"/>
        </w:rPr>
        <w:t xml:space="preserve">. 2011, Vol. 15 Issue 28, p94-100. 7p.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2A">
      <w:pPr>
        <w:ind w:left="720"/>
        <w:contextualSpacing w:val="0"/>
        <w:rPr>
          <w:rFonts w:ascii="Helvetica Neue" w:cs="Helvetica Neue" w:eastAsia="Helvetica Neue" w:hAnsi="Helvetica Neue"/>
          <w:color w:val="333333"/>
        </w:rPr>
      </w:pPr>
      <w:hyperlink r:id="rId12">
        <w:r w:rsidDel="00000000" w:rsidR="00000000" w:rsidRPr="00000000">
          <w:rPr>
            <w:rFonts w:ascii="Helvetica Neue" w:cs="Helvetica Neue" w:eastAsia="Helvetica Neue" w:hAnsi="Helvetica Neue"/>
            <w:color w:val="005bc6"/>
            <w:u w:val="single"/>
            <w:rtl w:val="0"/>
          </w:rPr>
          <w:t xml:space="preserve">Administracion y Organizaciones</w:t>
        </w:r>
      </w:hyperlink>
      <w:r w:rsidDel="00000000" w:rsidR="00000000" w:rsidRPr="00000000">
        <w:rPr>
          <w:rFonts w:ascii="Helvetica Neue" w:cs="Helvetica Neue" w:eastAsia="Helvetica Neue" w:hAnsi="Helvetica Neue"/>
          <w:color w:val="333333"/>
          <w:rtl w:val="0"/>
        </w:rPr>
        <w:t xml:space="preserve">. Jun2011, Vol. 14 Issue 26, p45-64. 20p. 1 Color Photograph, 1 Diagram, 1 Chart.</w:t>
      </w:r>
    </w:p>
    <w:p w:rsidR="00000000" w:rsidDel="00000000" w:rsidP="00000000" w:rsidRDefault="00000000" w:rsidRPr="00000000" w14:paraId="0000002B">
      <w:pPr>
        <w:ind w:left="720"/>
        <w:contextualSpacing w:val="0"/>
        <w:rPr>
          <w:rFonts w:ascii="Helvetica Neue" w:cs="Helvetica Neue" w:eastAsia="Helvetica Neue" w:hAnsi="Helvetica Neue"/>
          <w:color w:val="333333"/>
        </w:rPr>
      </w:pPr>
      <w:hyperlink r:id="rId13">
        <w:r w:rsidDel="00000000" w:rsidR="00000000" w:rsidRPr="00000000">
          <w:rPr>
            <w:rFonts w:ascii="Helvetica Neue" w:cs="Helvetica Neue" w:eastAsia="Helvetica Neue" w:hAnsi="Helvetica Neue"/>
            <w:color w:val="005bc6"/>
            <w:u w:val="single"/>
            <w:rtl w:val="0"/>
          </w:rPr>
          <w:t xml:space="preserve">Pixel-Bit, Revista </w:t>
        </w:r>
      </w:hyperlink>
      <w:hyperlink r:id="rId14">
        <w:r w:rsidDel="00000000" w:rsidR="00000000" w:rsidRPr="00000000">
          <w:rPr>
            <w:rFonts w:ascii="Helvetica Neue" w:cs="Helvetica Neue" w:eastAsia="Helvetica Neue" w:hAnsi="Helvetica Neue"/>
            <w:b w:val="1"/>
            <w:color w:val="005bc6"/>
            <w:rtl w:val="0"/>
          </w:rPr>
          <w:t xml:space="preserve">de</w:t>
        </w:r>
      </w:hyperlink>
      <w:hyperlink r:id="rId15">
        <w:r w:rsidDel="00000000" w:rsidR="00000000" w:rsidRPr="00000000">
          <w:rPr>
            <w:rFonts w:ascii="Helvetica Neue" w:cs="Helvetica Neue" w:eastAsia="Helvetica Neue" w:hAnsi="Helvetica Neue"/>
            <w:color w:val="005bc6"/>
            <w:u w:val="single"/>
            <w:rtl w:val="0"/>
          </w:rPr>
          <w:t xml:space="preserve"> Medios y Educacion</w:t>
        </w:r>
      </w:hyperlink>
      <w:r w:rsidDel="00000000" w:rsidR="00000000" w:rsidRPr="00000000">
        <w:rPr>
          <w:rFonts w:ascii="Helvetica Neue" w:cs="Helvetica Neue" w:eastAsia="Helvetica Neue" w:hAnsi="Helvetica Neue"/>
          <w:color w:val="333333"/>
          <w:rtl w:val="0"/>
        </w:rPr>
        <w:t xml:space="preserve">. jul2015, Issue 47, p223-230. 8p</w:t>
      </w:r>
    </w:p>
    <w:p w:rsidR="00000000" w:rsidDel="00000000" w:rsidP="00000000" w:rsidRDefault="00000000" w:rsidRPr="00000000" w14:paraId="0000002C">
      <w:pPr>
        <w:ind w:left="720"/>
        <w:contextualSpacing w:val="0"/>
        <w:rPr>
          <w:rFonts w:ascii="Helvetica Neue" w:cs="Helvetica Neue" w:eastAsia="Helvetica Neue" w:hAnsi="Helvetica Neue"/>
          <w:color w:val="333333"/>
        </w:rPr>
      </w:pPr>
      <w:hyperlink r:id="rId16">
        <w:r w:rsidDel="00000000" w:rsidR="00000000" w:rsidRPr="00000000">
          <w:rPr>
            <w:rFonts w:ascii="Helvetica Neue" w:cs="Helvetica Neue" w:eastAsia="Helvetica Neue" w:hAnsi="Helvetica Neue"/>
            <w:color w:val="005bc6"/>
            <w:u w:val="single"/>
            <w:rtl w:val="0"/>
          </w:rPr>
          <w:t xml:space="preserve">INGENIARE - Revista Chilena </w:t>
        </w:r>
      </w:hyperlink>
      <w:hyperlink r:id="rId17">
        <w:r w:rsidDel="00000000" w:rsidR="00000000" w:rsidRPr="00000000">
          <w:rPr>
            <w:rFonts w:ascii="Helvetica Neue" w:cs="Helvetica Neue" w:eastAsia="Helvetica Neue" w:hAnsi="Helvetica Neue"/>
            <w:b w:val="1"/>
            <w:color w:val="005bc6"/>
            <w:rtl w:val="0"/>
          </w:rPr>
          <w:t xml:space="preserve">de</w:t>
        </w:r>
      </w:hyperlink>
      <w:hyperlink r:id="rId18">
        <w:r w:rsidDel="00000000" w:rsidR="00000000" w:rsidRPr="00000000">
          <w:rPr>
            <w:rFonts w:ascii="Helvetica Neue" w:cs="Helvetica Neue" w:eastAsia="Helvetica Neue" w:hAnsi="Helvetica Neue"/>
            <w:color w:val="005bc6"/>
            <w:u w:val="single"/>
            <w:rtl w:val="0"/>
          </w:rPr>
          <w:t xml:space="preserve"> Ingeniería</w:t>
        </w:r>
      </w:hyperlink>
      <w:r w:rsidDel="00000000" w:rsidR="00000000" w:rsidRPr="00000000">
        <w:rPr>
          <w:rFonts w:ascii="Helvetica Neue" w:cs="Helvetica Neue" w:eastAsia="Helvetica Neue" w:hAnsi="Helvetica Neue"/>
          <w:color w:val="333333"/>
          <w:rtl w:val="0"/>
        </w:rPr>
        <w:t xml:space="preserve">. ene2017, Vol. 25 Issue 1, p15-27. 13p.</w:t>
      </w:r>
    </w:p>
    <w:p w:rsidR="00000000" w:rsidDel="00000000" w:rsidP="00000000" w:rsidRDefault="00000000" w:rsidRPr="00000000" w14:paraId="0000002D">
      <w:pPr>
        <w:ind w:left="720"/>
        <w:contextualSpacing w:val="0"/>
        <w:rPr>
          <w:b w:val="1"/>
        </w:rPr>
      </w:pPr>
      <w:hyperlink r:id="rId19">
        <w:r w:rsidDel="00000000" w:rsidR="00000000" w:rsidRPr="00000000">
          <w:rPr>
            <w:rFonts w:ascii="Helvetica Neue" w:cs="Helvetica Neue" w:eastAsia="Helvetica Neue" w:hAnsi="Helvetica Neue"/>
            <w:color w:val="005bc6"/>
            <w:u w:val="single"/>
            <w:rtl w:val="0"/>
          </w:rPr>
          <w:t xml:space="preserve">Revista Politécnica</w:t>
        </w:r>
      </w:hyperlink>
      <w:r w:rsidDel="00000000" w:rsidR="00000000" w:rsidRPr="00000000">
        <w:rPr>
          <w:rFonts w:ascii="Helvetica Neue" w:cs="Helvetica Neue" w:eastAsia="Helvetica Neue" w:hAnsi="Helvetica Neue"/>
          <w:color w:val="333333"/>
          <w:rtl w:val="0"/>
        </w:rPr>
        <w:t xml:space="preserve">. jul-dic2014, Vol. 10 Issue 19, p135-145. 11p</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sectPr>
      <w:type w:val="continuous"/>
      <w:pgSz w:h="15840" w:w="12240"/>
      <w:pgMar w:bottom="1008" w:top="1008" w:left="936" w:right="936" w:header="432" w:footer="432"/>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ind w:right="360"/>
      <w:contextualSpacing w:val="0"/>
      <w:jc w:val="center"/>
      <w:rPr>
        <w:vertAlign w:val="baseline"/>
      </w:rPr>
    </w:pPr>
    <w:r w:rsidDel="00000000" w:rsidR="00000000" w:rsidRPr="00000000">
      <w:rPr>
        <w:vertAlign w:val="baseline"/>
        <w:rtl w:val="0"/>
      </w:rPr>
      <w:t xml:space="preserve">PROYECTO </w:t>
    </w:r>
    <w:r w:rsidDel="00000000" w:rsidR="00000000" w:rsidRPr="00000000">
      <w:rPr>
        <w:rtl w:val="0"/>
      </w:rPr>
      <w:t xml:space="preserve">PRÁCTICA</w:t>
    </w:r>
    <w:r w:rsidDel="00000000" w:rsidR="00000000" w:rsidRPr="00000000">
      <w:rPr>
        <w:vertAlign w:val="baseline"/>
        <w:rtl w:val="0"/>
      </w:rPr>
      <w:t xml:space="preserve"> INVESTIGATIVA II</w:t>
    </w:r>
  </w:p>
  <w:p w:rsidR="00000000" w:rsidDel="00000000" w:rsidP="00000000" w:rsidRDefault="00000000" w:rsidRPr="00000000" w14:paraId="00000034">
    <w:pPr>
      <w:ind w:right="360"/>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numbering" Target="numbering.xml"/><Relationship Id="rId19" Type="http://schemas.openxmlformats.org/officeDocument/2006/relationships/hyperlink" Target="about:blank" TargetMode="External"/><Relationship Id="rId6" Type="http://schemas.openxmlformats.org/officeDocument/2006/relationships/styles" Target="styles.xml"/><Relationship Id="rId18" Type="http://schemas.openxmlformats.org/officeDocument/2006/relationships/hyperlink" Target="about:blank" TargetMode="External"/><Relationship Id="rId7" Type="http://schemas.openxmlformats.org/officeDocument/2006/relationships/header" Target="head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