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8C2D8" w14:textId="384E4BA1" w:rsidR="00506954" w:rsidRPr="00506954" w:rsidRDefault="002457D8" w:rsidP="002457D8">
      <w:pPr>
        <w:pStyle w:val="Title"/>
        <w:jc w:val="center"/>
        <w:rPr>
          <w:sz w:val="36"/>
          <w:szCs w:val="36"/>
        </w:rPr>
      </w:pPr>
      <w:r>
        <w:rPr>
          <w:sz w:val="36"/>
          <w:szCs w:val="36"/>
        </w:rPr>
        <w:t xml:space="preserve">Mitigating Flood Hazards </w:t>
      </w:r>
      <w:r w:rsidR="00506954" w:rsidRPr="00506954">
        <w:rPr>
          <w:sz w:val="36"/>
          <w:szCs w:val="36"/>
        </w:rPr>
        <w:t>on Tribal Lands with Data Science</w:t>
      </w:r>
    </w:p>
    <w:p w14:paraId="6F8DB2E3" w14:textId="77777777" w:rsidR="00506954" w:rsidRDefault="00506954" w:rsidP="00506954">
      <w:pPr>
        <w:rPr>
          <w:rFonts w:ascii="Garamond" w:hAnsi="Garamond"/>
        </w:rPr>
      </w:pPr>
    </w:p>
    <w:p w14:paraId="7B906718" w14:textId="1C98B033" w:rsidR="004C27B5" w:rsidRDefault="00FE49D1" w:rsidP="004C27B5">
      <w:pPr>
        <w:pStyle w:val="Heading1"/>
      </w:pPr>
      <w:r>
        <w:t>Problem Statement</w:t>
      </w:r>
    </w:p>
    <w:p w14:paraId="24D4E360" w14:textId="77777777" w:rsidR="009011F2" w:rsidRDefault="00821C18" w:rsidP="00821C18">
      <w:pPr>
        <w:rPr>
          <w:rFonts w:ascii="Garamond" w:hAnsi="Garamond"/>
        </w:rPr>
      </w:pPr>
      <w:r>
        <w:rPr>
          <w:rFonts w:ascii="Garamond" w:hAnsi="Garamond"/>
        </w:rPr>
        <w:t xml:space="preserve">Floods are natural hazards whose impacts are intensified or mitigated through direct and indirect human actions. </w:t>
      </w:r>
    </w:p>
    <w:p w14:paraId="6DCA1DAA" w14:textId="77777777" w:rsidR="009011F2" w:rsidRDefault="009011F2" w:rsidP="00821C18">
      <w:pPr>
        <w:rPr>
          <w:rFonts w:ascii="Garamond" w:hAnsi="Garamond"/>
        </w:rPr>
      </w:pPr>
    </w:p>
    <w:p w14:paraId="51C1AAD1" w14:textId="77777777" w:rsidR="005D0DCC" w:rsidRDefault="00821C18" w:rsidP="00821C18">
      <w:pPr>
        <w:rPr>
          <w:rFonts w:ascii="Garamond" w:hAnsi="Garamond"/>
        </w:rPr>
      </w:pPr>
      <w:r>
        <w:rPr>
          <w:rFonts w:ascii="Garamond" w:hAnsi="Garamond"/>
        </w:rPr>
        <w:t xml:space="preserve">Floodplain designation is a hazard mitigation approach to reduce the risk that a rare flood leads to the loss of human life or damage to homes or businesses. </w:t>
      </w:r>
    </w:p>
    <w:p w14:paraId="0D2AA738" w14:textId="77777777" w:rsidR="005D0DCC" w:rsidRDefault="005D0DCC" w:rsidP="00821C18">
      <w:pPr>
        <w:rPr>
          <w:rFonts w:ascii="Garamond" w:hAnsi="Garamond"/>
        </w:rPr>
      </w:pPr>
    </w:p>
    <w:p w14:paraId="012CF6C6" w14:textId="77777777" w:rsidR="005D0DCC" w:rsidRDefault="00821C18" w:rsidP="00821C18">
      <w:pPr>
        <w:rPr>
          <w:rFonts w:ascii="Garamond" w:hAnsi="Garamond"/>
        </w:rPr>
      </w:pPr>
      <w:r>
        <w:rPr>
          <w:rFonts w:ascii="Garamond" w:hAnsi="Garamond"/>
        </w:rPr>
        <w:t xml:space="preserve">Floodplain designation has not been completed northern Great Plains Reservation communities. </w:t>
      </w:r>
    </w:p>
    <w:p w14:paraId="6BB40E62" w14:textId="77777777" w:rsidR="005D0DCC" w:rsidRDefault="005D0DCC" w:rsidP="00821C18">
      <w:pPr>
        <w:rPr>
          <w:rFonts w:ascii="Garamond" w:hAnsi="Garamond"/>
        </w:rPr>
      </w:pPr>
    </w:p>
    <w:p w14:paraId="1FF1F4C9" w14:textId="3503BE9B" w:rsidR="00821C18" w:rsidRDefault="00FE49D1" w:rsidP="00821C18">
      <w:pPr>
        <w:rPr>
          <w:rFonts w:ascii="Garamond" w:hAnsi="Garamond"/>
        </w:rPr>
      </w:pPr>
      <w:r>
        <w:rPr>
          <w:rFonts w:ascii="Garamond" w:hAnsi="Garamond"/>
        </w:rPr>
        <w:t xml:space="preserve">Flood frequency analysis is a first step towards floodplain designation. </w:t>
      </w:r>
      <w:r>
        <w:rPr>
          <w:rFonts w:ascii="Garamond" w:hAnsi="Garamond"/>
        </w:rPr>
        <w:t>Recently updated Federal guidance on flow frequency analysis recommends the use of data science methods to increase the accuracy of flow frequency analysis. However, the updated guidance does not identify how data science should be used to accurately determine the hundred-year flood magnitude.</w:t>
      </w:r>
    </w:p>
    <w:p w14:paraId="17D9CD98" w14:textId="77777777" w:rsidR="00821C18" w:rsidRDefault="00821C18" w:rsidP="00821C18">
      <w:pPr>
        <w:rPr>
          <w:rFonts w:ascii="Garamond" w:hAnsi="Garamond"/>
        </w:rPr>
      </w:pPr>
    </w:p>
    <w:p w14:paraId="4105CE1E" w14:textId="72DD53CE" w:rsidR="00084D41" w:rsidRDefault="00084D41" w:rsidP="004D7CFD">
      <w:pPr>
        <w:rPr>
          <w:rFonts w:ascii="Garamond" w:hAnsi="Garamond"/>
        </w:rPr>
      </w:pPr>
      <w:r>
        <w:rPr>
          <w:rFonts w:ascii="Garamond" w:hAnsi="Garamond"/>
        </w:rPr>
        <w:t>Our</w:t>
      </w:r>
      <w:r w:rsidR="00FE49D1">
        <w:rPr>
          <w:rFonts w:ascii="Garamond" w:hAnsi="Garamond"/>
        </w:rPr>
        <w:t xml:space="preserve"> </w:t>
      </w:r>
      <w:r>
        <w:rPr>
          <w:rFonts w:ascii="Garamond" w:hAnsi="Garamond"/>
        </w:rPr>
        <w:t xml:space="preserve">research </w:t>
      </w:r>
      <w:r w:rsidR="00FE49D1">
        <w:rPr>
          <w:rFonts w:ascii="Garamond" w:hAnsi="Garamond"/>
        </w:rPr>
        <w:t>aim is to</w:t>
      </w:r>
      <w:r w:rsidR="00FE49D1" w:rsidRPr="004D7CFD">
        <w:rPr>
          <w:rFonts w:ascii="Garamond" w:hAnsi="Garamond"/>
        </w:rPr>
        <w:t xml:space="preserve"> </w:t>
      </w:r>
      <w:r>
        <w:rPr>
          <w:rFonts w:ascii="Garamond" w:hAnsi="Garamond"/>
        </w:rPr>
        <w:t xml:space="preserve">increase the accuracy and robustness of flood magnitude predictions by </w:t>
      </w:r>
      <w:r w:rsidR="00FE49D1" w:rsidRPr="004D7CFD">
        <w:rPr>
          <w:rFonts w:ascii="Garamond" w:hAnsi="Garamond"/>
        </w:rPr>
        <w:t>identif</w:t>
      </w:r>
      <w:r>
        <w:rPr>
          <w:rFonts w:ascii="Garamond" w:hAnsi="Garamond"/>
        </w:rPr>
        <w:t>ying</w:t>
      </w:r>
      <w:r w:rsidR="00FE49D1" w:rsidRPr="004D7CFD">
        <w:rPr>
          <w:rFonts w:ascii="Garamond" w:hAnsi="Garamond"/>
        </w:rPr>
        <w:t xml:space="preserve"> </w:t>
      </w:r>
      <w:r>
        <w:rPr>
          <w:rFonts w:ascii="Garamond" w:hAnsi="Garamond"/>
        </w:rPr>
        <w:t xml:space="preserve">groups </w:t>
      </w:r>
      <w:r w:rsidR="00FE49D1">
        <w:rPr>
          <w:rFonts w:ascii="Garamond" w:hAnsi="Garamond"/>
        </w:rPr>
        <w:t>stream gauges</w:t>
      </w:r>
      <w:r w:rsidR="00FE49D1" w:rsidRPr="004D7CFD">
        <w:rPr>
          <w:rFonts w:ascii="Garamond" w:hAnsi="Garamond"/>
        </w:rPr>
        <w:t xml:space="preserve"> with similar flood behaviors</w:t>
      </w:r>
      <w:r>
        <w:rPr>
          <w:rFonts w:ascii="Garamond" w:hAnsi="Garamond"/>
        </w:rPr>
        <w:t xml:space="preserve"> from a large group of stream gauges across a wide geographic area with a wide variance of </w:t>
      </w:r>
      <w:r w:rsidRPr="004D7CFD">
        <w:rPr>
          <w:rFonts w:ascii="Garamond" w:hAnsi="Garamond"/>
        </w:rPr>
        <w:t>elevation, climate, and geography</w:t>
      </w:r>
      <w:r>
        <w:rPr>
          <w:rFonts w:ascii="Garamond" w:hAnsi="Garamond"/>
        </w:rPr>
        <w:t xml:space="preserve">. The purpose of the research is to better </w:t>
      </w:r>
      <w:r w:rsidR="004D7CFD" w:rsidRPr="004D7CFD">
        <w:rPr>
          <w:rFonts w:ascii="Garamond" w:hAnsi="Garamond"/>
        </w:rPr>
        <w:t xml:space="preserve">estimate flood risk </w:t>
      </w:r>
      <w:r>
        <w:rPr>
          <w:rFonts w:ascii="Garamond" w:hAnsi="Garamond"/>
        </w:rPr>
        <w:t xml:space="preserve">in </w:t>
      </w:r>
      <w:r>
        <w:rPr>
          <w:rFonts w:ascii="Garamond" w:hAnsi="Garamond"/>
        </w:rPr>
        <w:t>Great Plains Reservation communities.</w:t>
      </w:r>
    </w:p>
    <w:p w14:paraId="76882555" w14:textId="77777777" w:rsidR="00084D41" w:rsidRDefault="00084D41" w:rsidP="00084D41">
      <w:pPr>
        <w:pStyle w:val="Heading1"/>
      </w:pPr>
      <w:r>
        <w:t>Approach</w:t>
      </w:r>
    </w:p>
    <w:p w14:paraId="026A23C9" w14:textId="131E4D71" w:rsidR="004D7CFD" w:rsidRPr="004D7CFD" w:rsidRDefault="00084D41" w:rsidP="004D7CFD">
      <w:pPr>
        <w:rPr>
          <w:rFonts w:ascii="Garamond" w:hAnsi="Garamond"/>
        </w:rPr>
      </w:pPr>
      <w:r>
        <w:rPr>
          <w:rFonts w:ascii="Garamond" w:hAnsi="Garamond"/>
        </w:rPr>
        <w:t>W</w:t>
      </w:r>
      <w:r w:rsidRPr="004D7CFD">
        <w:rPr>
          <w:rFonts w:ascii="Garamond" w:hAnsi="Garamond"/>
        </w:rPr>
        <w:t xml:space="preserve">e </w:t>
      </w:r>
      <w:r>
        <w:rPr>
          <w:rFonts w:ascii="Garamond" w:hAnsi="Garamond"/>
        </w:rPr>
        <w:t xml:space="preserve">will </w:t>
      </w:r>
      <w:r w:rsidRPr="004D7CFD">
        <w:rPr>
          <w:rFonts w:ascii="Garamond" w:hAnsi="Garamond"/>
        </w:rPr>
        <w:t xml:space="preserve">use a statistical technique called </w:t>
      </w:r>
      <w:r w:rsidRPr="004D7CFD">
        <w:rPr>
          <w:rFonts w:ascii="Garamond" w:hAnsi="Garamond"/>
          <w:b/>
          <w:bCs/>
        </w:rPr>
        <w:t>clustering</w:t>
      </w:r>
      <w:r w:rsidRPr="004D7CFD">
        <w:rPr>
          <w:rFonts w:ascii="Garamond" w:hAnsi="Garamond"/>
        </w:rPr>
        <w:t xml:space="preserve">, </w:t>
      </w:r>
      <w:r>
        <w:rPr>
          <w:rFonts w:ascii="Garamond" w:hAnsi="Garamond"/>
        </w:rPr>
        <w:t>to</w:t>
      </w:r>
      <w:r w:rsidRPr="004D7CFD">
        <w:rPr>
          <w:rFonts w:ascii="Garamond" w:hAnsi="Garamond"/>
        </w:rPr>
        <w:t xml:space="preserve"> group</w:t>
      </w:r>
      <w:r>
        <w:rPr>
          <w:rFonts w:ascii="Garamond" w:hAnsi="Garamond"/>
        </w:rPr>
        <w:t xml:space="preserve"> </w:t>
      </w:r>
      <w:r w:rsidRPr="004D7CFD">
        <w:rPr>
          <w:rFonts w:ascii="Garamond" w:hAnsi="Garamond"/>
        </w:rPr>
        <w:t>stations based on their flood characteristics.</w:t>
      </w:r>
      <w:r w:rsidR="00EF2937">
        <w:rPr>
          <w:rFonts w:ascii="Garamond" w:hAnsi="Garamond"/>
        </w:rPr>
        <w:t xml:space="preserve"> The</w:t>
      </w:r>
      <w:r w:rsidR="00EF2937" w:rsidRPr="004D7CFD">
        <w:rPr>
          <w:rFonts w:ascii="Garamond" w:hAnsi="Garamond"/>
        </w:rPr>
        <w:t xml:space="preserve"> </w:t>
      </w:r>
      <w:r w:rsidR="00EF2937" w:rsidRPr="004D7CFD">
        <w:rPr>
          <w:rFonts w:ascii="Garamond" w:hAnsi="Garamond"/>
          <w:b/>
          <w:bCs/>
        </w:rPr>
        <w:t>Gaussian Mixture Model</w:t>
      </w:r>
      <w:r w:rsidR="00EF2937">
        <w:rPr>
          <w:rFonts w:ascii="Garamond" w:hAnsi="Garamond"/>
        </w:rPr>
        <w:t xml:space="preserve"> is a clustering method that creates </w:t>
      </w:r>
      <w:r w:rsidR="004D7CFD" w:rsidRPr="004D7CFD">
        <w:rPr>
          <w:rFonts w:ascii="Garamond" w:hAnsi="Garamond"/>
        </w:rPr>
        <w:t>flexible groupings of stations</w:t>
      </w:r>
      <w:r w:rsidR="00EF2937">
        <w:rPr>
          <w:rFonts w:ascii="Garamond" w:hAnsi="Garamond"/>
        </w:rPr>
        <w:t xml:space="preserve"> to </w:t>
      </w:r>
      <w:r w:rsidR="004D7CFD" w:rsidRPr="004D7CFD">
        <w:rPr>
          <w:rFonts w:ascii="Garamond" w:hAnsi="Garamond"/>
        </w:rPr>
        <w:t>ensur</w:t>
      </w:r>
      <w:r w:rsidR="00EF2937">
        <w:rPr>
          <w:rFonts w:ascii="Garamond" w:hAnsi="Garamond"/>
        </w:rPr>
        <w:t>e</w:t>
      </w:r>
      <w:r w:rsidR="004D7CFD" w:rsidRPr="004D7CFD">
        <w:rPr>
          <w:rFonts w:ascii="Garamond" w:hAnsi="Garamond"/>
        </w:rPr>
        <w:t xml:space="preserve"> that we capture the diversity of flood behaviors across the landscape.</w:t>
      </w:r>
    </w:p>
    <w:p w14:paraId="30355479" w14:textId="73694897" w:rsidR="00EF2937" w:rsidRDefault="00EF2937" w:rsidP="004D7CFD">
      <w:pPr>
        <w:rPr>
          <w:rFonts w:ascii="Garamond" w:hAnsi="Garamond"/>
          <w:b/>
          <w:bCs/>
        </w:rPr>
      </w:pPr>
    </w:p>
    <w:p w14:paraId="207E8CEF" w14:textId="5C9B782B" w:rsidR="00EF2937" w:rsidRDefault="00EF2937" w:rsidP="00EF2937">
      <w:pPr>
        <w:rPr>
          <w:rFonts w:ascii="Garamond" w:hAnsi="Garamond"/>
        </w:rPr>
      </w:pPr>
      <w:r>
        <w:rPr>
          <w:rFonts w:ascii="Garamond" w:hAnsi="Garamond"/>
        </w:rPr>
        <w:t xml:space="preserve">A first step in the analysis is to </w:t>
      </w:r>
      <w:r w:rsidRPr="004D7CFD">
        <w:rPr>
          <w:rFonts w:ascii="Garamond" w:hAnsi="Garamond"/>
        </w:rPr>
        <w:t>remove the influence of scale, ensuring that differences between regions aren’t just due to the size of the river or stream.</w:t>
      </w:r>
      <w:r>
        <w:rPr>
          <w:rFonts w:ascii="Garamond" w:hAnsi="Garamond"/>
        </w:rPr>
        <w:t xml:space="preserve"> Next, we will select the most likely number of clusters using a </w:t>
      </w:r>
      <w:r w:rsidR="004D7CFD" w:rsidRPr="004D7CFD">
        <w:rPr>
          <w:rFonts w:ascii="Garamond" w:hAnsi="Garamond"/>
        </w:rPr>
        <w:t xml:space="preserve">criterion called </w:t>
      </w:r>
      <w:r w:rsidR="004D7CFD" w:rsidRPr="004D7CFD">
        <w:rPr>
          <w:rFonts w:ascii="Garamond" w:hAnsi="Garamond"/>
          <w:b/>
          <w:bCs/>
        </w:rPr>
        <w:t>BIC</w:t>
      </w:r>
      <w:r>
        <w:rPr>
          <w:rFonts w:ascii="Garamond" w:hAnsi="Garamond"/>
        </w:rPr>
        <w:t xml:space="preserve">. BIC </w:t>
      </w:r>
      <w:r w:rsidR="006E5A6C">
        <w:rPr>
          <w:rFonts w:ascii="Garamond" w:hAnsi="Garamond"/>
        </w:rPr>
        <w:t>prefers a smaller number of groups to avoid unnecessary complexity.</w:t>
      </w:r>
    </w:p>
    <w:p w14:paraId="3234D5B0" w14:textId="29AA4524" w:rsidR="00EF2937" w:rsidRDefault="00EF2937" w:rsidP="004D7CFD">
      <w:pPr>
        <w:rPr>
          <w:rFonts w:ascii="Garamond" w:hAnsi="Garamond"/>
        </w:rPr>
      </w:pPr>
    </w:p>
    <w:p w14:paraId="153F466C" w14:textId="0E1C767A" w:rsidR="006E5A6C" w:rsidRPr="004D7CFD" w:rsidRDefault="006E5A6C" w:rsidP="006E5A6C">
      <w:pPr>
        <w:rPr>
          <w:rFonts w:ascii="Garamond" w:hAnsi="Garamond"/>
        </w:rPr>
      </w:pPr>
      <w:r>
        <w:rPr>
          <w:rFonts w:ascii="Garamond" w:hAnsi="Garamond"/>
        </w:rPr>
        <w:t xml:space="preserve">We will use both visualization and quality metrics to evaluate how well the groups are </w:t>
      </w:r>
      <w:r w:rsidRPr="004D7CFD">
        <w:rPr>
          <w:rFonts w:ascii="Garamond" w:hAnsi="Garamond"/>
        </w:rPr>
        <w:t>defined</w:t>
      </w:r>
      <w:r>
        <w:rPr>
          <w:rFonts w:ascii="Garamond" w:hAnsi="Garamond"/>
        </w:rPr>
        <w:t>. A t</w:t>
      </w:r>
      <w:r w:rsidRPr="004D7CFD">
        <w:rPr>
          <w:rFonts w:ascii="Garamond" w:hAnsi="Garamond"/>
        </w:rPr>
        <w:t xml:space="preserve">echnique called </w:t>
      </w:r>
      <w:r w:rsidRPr="004D7CFD">
        <w:rPr>
          <w:rFonts w:ascii="Garamond" w:hAnsi="Garamond"/>
          <w:b/>
          <w:bCs/>
        </w:rPr>
        <w:t>t-SNE</w:t>
      </w:r>
      <w:r>
        <w:rPr>
          <w:rFonts w:ascii="Garamond" w:hAnsi="Garamond"/>
        </w:rPr>
        <w:t xml:space="preserve"> will </w:t>
      </w:r>
      <w:r w:rsidRPr="004D7CFD">
        <w:rPr>
          <w:rFonts w:ascii="Garamond" w:hAnsi="Garamond"/>
        </w:rPr>
        <w:t xml:space="preserve">allow us to visualize complex data in a simple, easy-to-understand form. Additionally, we </w:t>
      </w:r>
      <w:r>
        <w:rPr>
          <w:rFonts w:ascii="Garamond" w:hAnsi="Garamond"/>
        </w:rPr>
        <w:t xml:space="preserve">will </w:t>
      </w:r>
      <w:r w:rsidRPr="004D7CFD">
        <w:rPr>
          <w:rFonts w:ascii="Garamond" w:hAnsi="Garamond"/>
        </w:rPr>
        <w:t xml:space="preserve">calculate the </w:t>
      </w:r>
      <w:r w:rsidRPr="004D7CFD">
        <w:rPr>
          <w:rFonts w:ascii="Garamond" w:hAnsi="Garamond"/>
          <w:b/>
          <w:bCs/>
        </w:rPr>
        <w:t>Silhouette Score</w:t>
      </w:r>
      <w:r w:rsidRPr="004D7CFD">
        <w:rPr>
          <w:rFonts w:ascii="Garamond" w:hAnsi="Garamond"/>
        </w:rPr>
        <w:t xml:space="preserve"> and </w:t>
      </w:r>
      <w:proofErr w:type="spellStart"/>
      <w:r w:rsidRPr="004D7CFD">
        <w:rPr>
          <w:rFonts w:ascii="Garamond" w:hAnsi="Garamond"/>
          <w:b/>
          <w:bCs/>
        </w:rPr>
        <w:t>Calinski-Harabasz</w:t>
      </w:r>
      <w:proofErr w:type="spellEnd"/>
      <w:r w:rsidRPr="004D7CFD">
        <w:rPr>
          <w:rFonts w:ascii="Garamond" w:hAnsi="Garamond"/>
          <w:b/>
          <w:bCs/>
        </w:rPr>
        <w:t xml:space="preserve"> Index</w:t>
      </w:r>
      <w:r w:rsidRPr="004D7CFD">
        <w:rPr>
          <w:rFonts w:ascii="Garamond" w:hAnsi="Garamond"/>
        </w:rPr>
        <w:t xml:space="preserve"> to confirm that the groups are meaningful and distinct.</w:t>
      </w:r>
    </w:p>
    <w:p w14:paraId="02E48E99" w14:textId="77777777" w:rsidR="006E5A6C" w:rsidRDefault="006E5A6C" w:rsidP="004D7CFD">
      <w:pPr>
        <w:rPr>
          <w:rFonts w:ascii="Garamond" w:hAnsi="Garamond"/>
        </w:rPr>
      </w:pPr>
    </w:p>
    <w:p w14:paraId="221E1BA8" w14:textId="77777777" w:rsidR="00EF2937" w:rsidRPr="004D7CFD" w:rsidRDefault="00EF2937" w:rsidP="004D7CFD">
      <w:pPr>
        <w:rPr>
          <w:rFonts w:ascii="Garamond" w:hAnsi="Garamond"/>
        </w:rPr>
      </w:pPr>
    </w:p>
    <w:p w14:paraId="4EC532E6" w14:textId="77777777" w:rsidR="004D7CFD" w:rsidRPr="004D7CFD" w:rsidRDefault="004D7CFD" w:rsidP="004D7CFD">
      <w:pPr>
        <w:rPr>
          <w:rFonts w:ascii="Garamond" w:hAnsi="Garamond"/>
          <w:b/>
          <w:bCs/>
        </w:rPr>
      </w:pPr>
      <w:r w:rsidRPr="004D7CFD">
        <w:rPr>
          <w:rFonts w:ascii="Garamond" w:hAnsi="Garamond"/>
          <w:b/>
          <w:bCs/>
        </w:rPr>
        <w:t>Visualization and Evaluation:</w:t>
      </w:r>
    </w:p>
    <w:p w14:paraId="4091A686" w14:textId="77777777" w:rsidR="004D7CFD" w:rsidRPr="004D7CFD" w:rsidRDefault="004D7CFD" w:rsidP="004D7CFD">
      <w:pPr>
        <w:rPr>
          <w:rFonts w:ascii="Garamond" w:hAnsi="Garamond"/>
          <w:b/>
          <w:bCs/>
        </w:rPr>
      </w:pPr>
      <w:r w:rsidRPr="004D7CFD">
        <w:rPr>
          <w:rFonts w:ascii="Garamond" w:hAnsi="Garamond"/>
          <w:b/>
          <w:bCs/>
        </w:rPr>
        <w:t>Understanding Key Drivers:</w:t>
      </w:r>
    </w:p>
    <w:p w14:paraId="2EAE3DDE" w14:textId="77777777" w:rsidR="004D7CFD" w:rsidRPr="004D7CFD" w:rsidRDefault="004D7CFD" w:rsidP="004D7CFD">
      <w:pPr>
        <w:rPr>
          <w:rFonts w:ascii="Garamond" w:hAnsi="Garamond"/>
        </w:rPr>
      </w:pPr>
      <w:r w:rsidRPr="004D7CFD">
        <w:rPr>
          <w:rFonts w:ascii="Garamond" w:hAnsi="Garamond"/>
        </w:rPr>
        <w:t xml:space="preserve">Once we’ve identified these regions, we want to understand what factors are driving the differences in flood behavior. We focus on variables like </w:t>
      </w:r>
      <w:r w:rsidRPr="004D7CFD">
        <w:rPr>
          <w:rFonts w:ascii="Garamond" w:hAnsi="Garamond"/>
          <w:b/>
          <w:bCs/>
        </w:rPr>
        <w:t>elevation, climate, and geography</w:t>
      </w:r>
      <w:r w:rsidRPr="004D7CFD">
        <w:rPr>
          <w:rFonts w:ascii="Garamond" w:hAnsi="Garamond"/>
        </w:rPr>
        <w:t xml:space="preserve">. To do this, we use a modeling technique called </w:t>
      </w:r>
      <w:r w:rsidRPr="004D7CFD">
        <w:rPr>
          <w:rFonts w:ascii="Garamond" w:hAnsi="Garamond"/>
          <w:b/>
          <w:bCs/>
        </w:rPr>
        <w:t>Elastic Net</w:t>
      </w:r>
      <w:r w:rsidRPr="004D7CFD">
        <w:rPr>
          <w:rFonts w:ascii="Garamond" w:hAnsi="Garamond"/>
        </w:rPr>
        <w:t>, which helps us select the most important factors without overwhelming the analysis with too many details.</w:t>
      </w:r>
    </w:p>
    <w:p w14:paraId="6D8849A8" w14:textId="77777777" w:rsidR="004D7CFD" w:rsidRPr="004D7CFD" w:rsidRDefault="004D7CFD" w:rsidP="004D7CFD">
      <w:pPr>
        <w:rPr>
          <w:rFonts w:ascii="Garamond" w:hAnsi="Garamond"/>
          <w:b/>
          <w:bCs/>
        </w:rPr>
      </w:pPr>
      <w:r w:rsidRPr="004D7CFD">
        <w:rPr>
          <w:rFonts w:ascii="Garamond" w:hAnsi="Garamond"/>
          <w:b/>
          <w:bCs/>
        </w:rPr>
        <w:t>Outcome:</w:t>
      </w:r>
    </w:p>
    <w:p w14:paraId="207EB455" w14:textId="77777777" w:rsidR="004D7CFD" w:rsidRPr="004D7CFD" w:rsidRDefault="004D7CFD" w:rsidP="004D7CFD">
      <w:pPr>
        <w:rPr>
          <w:rFonts w:ascii="Garamond" w:hAnsi="Garamond"/>
        </w:rPr>
      </w:pPr>
      <w:r w:rsidRPr="004D7CFD">
        <w:rPr>
          <w:rFonts w:ascii="Garamond" w:hAnsi="Garamond"/>
        </w:rPr>
        <w:lastRenderedPageBreak/>
        <w:t>This approach not only allows us to identify regional patterns in flood behavior but also helps pinpoint which environmental factors are most important for predicting extreme floods. This can be especially useful for flood risk management in areas like Tribal Lands, where understanding local flood risks is essential for community planning and safety.</w:t>
      </w:r>
    </w:p>
    <w:p w14:paraId="51E5FECF" w14:textId="77777777" w:rsidR="004D7CFD" w:rsidRDefault="004D7CFD" w:rsidP="00821C18">
      <w:pPr>
        <w:rPr>
          <w:rFonts w:ascii="Garamond" w:hAnsi="Garamond"/>
        </w:rPr>
      </w:pPr>
    </w:p>
    <w:p w14:paraId="18A028E7" w14:textId="77777777" w:rsidR="004D7CFD" w:rsidRDefault="004D7CFD" w:rsidP="00821C18">
      <w:pPr>
        <w:rPr>
          <w:rFonts w:ascii="Garamond" w:hAnsi="Garamond"/>
        </w:rPr>
      </w:pPr>
    </w:p>
    <w:p w14:paraId="6F4BAA53" w14:textId="77777777" w:rsidR="004D7CFD" w:rsidRDefault="004D7CFD" w:rsidP="00821C18">
      <w:pPr>
        <w:rPr>
          <w:rFonts w:ascii="Garamond" w:hAnsi="Garamond"/>
        </w:rPr>
      </w:pPr>
    </w:p>
    <w:p w14:paraId="4A539350" w14:textId="77777777" w:rsidR="004D7CFD" w:rsidRDefault="004D7CFD" w:rsidP="00821C18">
      <w:pPr>
        <w:rPr>
          <w:rFonts w:ascii="Garamond" w:hAnsi="Garamond"/>
        </w:rPr>
      </w:pPr>
    </w:p>
    <w:p w14:paraId="0DBB2DE4" w14:textId="0350D710" w:rsidR="00FE49D1" w:rsidRDefault="00FE49D1" w:rsidP="00FE49D1">
      <w:pPr>
        <w:rPr>
          <w:rFonts w:ascii="Garamond" w:hAnsi="Garamond"/>
        </w:rPr>
      </w:pPr>
      <w:r>
        <w:rPr>
          <w:rFonts w:ascii="Garamond" w:hAnsi="Garamond"/>
        </w:rPr>
        <w:t xml:space="preserve">Floodplain designation is a two-step approach involving flow frequency analysis to determine the peak discharge magnitude of a hundred-year flood, then apply a computer model to incorporate flood frequency analysis results with highly accurate topographic data to identify the land surface area that would be inundated by the floodwater. </w:t>
      </w:r>
    </w:p>
    <w:p w14:paraId="60DC2CBD" w14:textId="77777777" w:rsidR="00FE49D1" w:rsidRDefault="00FE49D1" w:rsidP="00FE49D1">
      <w:pPr>
        <w:rPr>
          <w:rFonts w:ascii="Garamond" w:hAnsi="Garamond"/>
        </w:rPr>
      </w:pPr>
    </w:p>
    <w:p w14:paraId="79AD2F3D" w14:textId="77777777" w:rsidR="00FE49D1" w:rsidRDefault="00FE49D1" w:rsidP="00FE49D1">
      <w:pPr>
        <w:rPr>
          <w:rFonts w:ascii="Garamond" w:hAnsi="Garamond"/>
        </w:rPr>
      </w:pPr>
      <w:r>
        <w:rPr>
          <w:rFonts w:ascii="Garamond" w:hAnsi="Garamond"/>
        </w:rPr>
        <w:t>This project aims to designate the hundred-year floodplain along portions of White Clay Creek, SD using publicly available LiDAR data and a FEMA-recommended computer model. The achievement of this aim requires the prior approval from the OLC Institutional Review Board and the OST Research Review Board, and the development of a replicable data science approach to accurately determine hundred-year flood magnitudes at gaging stations across the northern Great Plains.</w:t>
      </w:r>
    </w:p>
    <w:p w14:paraId="5DDF86F2" w14:textId="77777777" w:rsidR="004D7CFD" w:rsidRDefault="004D7CFD" w:rsidP="00821C18">
      <w:pPr>
        <w:rPr>
          <w:rFonts w:ascii="Garamond" w:hAnsi="Garamond"/>
        </w:rPr>
      </w:pPr>
    </w:p>
    <w:p w14:paraId="7A3C399B" w14:textId="77777777" w:rsidR="004D7CFD" w:rsidRDefault="004D7CFD" w:rsidP="00821C18">
      <w:pPr>
        <w:rPr>
          <w:rFonts w:ascii="Garamond" w:hAnsi="Garamond"/>
        </w:rPr>
      </w:pPr>
    </w:p>
    <w:p w14:paraId="4BE1E1C1" w14:textId="77777777" w:rsidR="004D7CFD" w:rsidRDefault="004D7CFD" w:rsidP="00821C18">
      <w:pPr>
        <w:rPr>
          <w:rFonts w:ascii="Garamond" w:hAnsi="Garamond"/>
        </w:rPr>
      </w:pPr>
    </w:p>
    <w:p w14:paraId="62C21FEF" w14:textId="77777777" w:rsidR="004D7CFD" w:rsidRDefault="004D7CFD" w:rsidP="00821C18">
      <w:pPr>
        <w:rPr>
          <w:rFonts w:ascii="Garamond" w:hAnsi="Garamond"/>
        </w:rPr>
      </w:pPr>
    </w:p>
    <w:p w14:paraId="3157A4B1" w14:textId="77777777" w:rsidR="004D7CFD" w:rsidRDefault="004D7CFD" w:rsidP="00821C18">
      <w:pPr>
        <w:rPr>
          <w:rFonts w:ascii="Garamond" w:hAnsi="Garamond"/>
        </w:rPr>
      </w:pPr>
    </w:p>
    <w:p w14:paraId="3371E7DD" w14:textId="4670EE41" w:rsidR="00DD7FAF" w:rsidRDefault="00DD7FAF" w:rsidP="00821C18">
      <w:pPr>
        <w:rPr>
          <w:rFonts w:ascii="Garamond" w:hAnsi="Garamond"/>
        </w:rPr>
      </w:pPr>
      <w:r>
        <w:rPr>
          <w:rFonts w:ascii="Garamond" w:hAnsi="Garamond"/>
        </w:rPr>
        <w:t xml:space="preserve">The approach </w:t>
      </w:r>
      <w:r>
        <w:rPr>
          <w:rFonts w:ascii="Garamond" w:hAnsi="Garamond"/>
        </w:rPr>
        <w:t>to accurately determine hundred-year flood magnitudes at gaging stations across the northern Great Plains</w:t>
      </w:r>
      <w:r>
        <w:rPr>
          <w:rFonts w:ascii="Garamond" w:hAnsi="Garamond"/>
        </w:rPr>
        <w:t xml:space="preserve"> is to apply a </w:t>
      </w:r>
      <w:r w:rsidR="002457D8">
        <w:rPr>
          <w:rFonts w:ascii="Garamond" w:hAnsi="Garamond"/>
        </w:rPr>
        <w:t xml:space="preserve">machine learning </w:t>
      </w:r>
      <w:r>
        <w:rPr>
          <w:rFonts w:ascii="Garamond" w:hAnsi="Garamond"/>
        </w:rPr>
        <w:t xml:space="preserve">approach to identify streams </w:t>
      </w:r>
    </w:p>
    <w:p w14:paraId="237F896F" w14:textId="77777777" w:rsidR="00DD7FAF" w:rsidRDefault="00DD7FAF" w:rsidP="00821C18">
      <w:pPr>
        <w:rPr>
          <w:rFonts w:ascii="Garamond" w:hAnsi="Garamond"/>
        </w:rPr>
      </w:pPr>
    </w:p>
    <w:p w14:paraId="1344FC43" w14:textId="77777777" w:rsidR="00DD7FAF" w:rsidRDefault="00DD7FAF" w:rsidP="00821C18">
      <w:pPr>
        <w:rPr>
          <w:rFonts w:ascii="Garamond" w:hAnsi="Garamond"/>
        </w:rPr>
      </w:pPr>
    </w:p>
    <w:p w14:paraId="653FADC5" w14:textId="77777777" w:rsidR="00DD7FAF" w:rsidRDefault="00DD7FAF" w:rsidP="00821C18">
      <w:pPr>
        <w:rPr>
          <w:rFonts w:ascii="Garamond" w:hAnsi="Garamond"/>
        </w:rPr>
      </w:pPr>
    </w:p>
    <w:p w14:paraId="44F6209C" w14:textId="588E46D1" w:rsidR="00DD7FAF" w:rsidRDefault="00DD7FAF" w:rsidP="00821C18">
      <w:pPr>
        <w:rPr>
          <w:rFonts w:ascii="Garamond" w:hAnsi="Garamond"/>
        </w:rPr>
      </w:pPr>
      <w:r>
        <w:rPr>
          <w:rFonts w:ascii="Garamond" w:hAnsi="Garamond"/>
        </w:rPr>
        <w:t xml:space="preserve">of statistically similar gages </w:t>
      </w:r>
    </w:p>
    <w:p w14:paraId="14FDCBA8" w14:textId="77777777" w:rsidR="00DD7FAF" w:rsidRDefault="00DD7FAF" w:rsidP="00821C18">
      <w:pPr>
        <w:rPr>
          <w:rFonts w:ascii="Garamond" w:hAnsi="Garamond"/>
        </w:rPr>
      </w:pPr>
    </w:p>
    <w:p w14:paraId="48D5AB04" w14:textId="314DE959" w:rsidR="00821C18" w:rsidRDefault="002041BB" w:rsidP="00821C18">
      <w:pPr>
        <w:rPr>
          <w:rFonts w:ascii="Garamond" w:hAnsi="Garamond"/>
        </w:rPr>
      </w:pPr>
      <w:r>
        <w:rPr>
          <w:rFonts w:ascii="Garamond" w:hAnsi="Garamond"/>
        </w:rPr>
        <w:t xml:space="preserve">to peak discharge observations from stream discharge recording gages from Montana to Texas to identify </w:t>
      </w:r>
    </w:p>
    <w:p w14:paraId="4564B6F0" w14:textId="77777777" w:rsidR="002457D8" w:rsidRDefault="002457D8" w:rsidP="00506954">
      <w:pPr>
        <w:rPr>
          <w:rFonts w:ascii="Garamond" w:hAnsi="Garamond"/>
        </w:rPr>
      </w:pPr>
    </w:p>
    <w:p w14:paraId="2A873199" w14:textId="77777777" w:rsidR="00FE49D1" w:rsidRDefault="00FE49D1" w:rsidP="00FE49D1">
      <w:pPr>
        <w:rPr>
          <w:rFonts w:ascii="Garamond" w:hAnsi="Garamond"/>
        </w:rPr>
      </w:pPr>
      <w:r>
        <w:rPr>
          <w:rFonts w:ascii="Garamond" w:hAnsi="Garamond"/>
        </w:rPr>
        <w:t>Data science incorporates statistics, machine learning, programming, scientific expertise, and large datasets to address complex technical problems. Ethical data science requires</w:t>
      </w:r>
      <w:r w:rsidRPr="008320F9">
        <w:rPr>
          <w:rFonts w:ascii="Garamond" w:hAnsi="Garamond"/>
        </w:rPr>
        <w:t xml:space="preserve"> FAIR (</w:t>
      </w:r>
      <w:r w:rsidRPr="008320F9">
        <w:rPr>
          <w:rFonts w:ascii="Garamond" w:hAnsi="Garamond"/>
          <w:u w:val="single"/>
        </w:rPr>
        <w:t>F</w:t>
      </w:r>
      <w:r w:rsidRPr="008320F9">
        <w:rPr>
          <w:rFonts w:ascii="Garamond" w:hAnsi="Garamond"/>
        </w:rPr>
        <w:t xml:space="preserve">indable, </w:t>
      </w:r>
      <w:r w:rsidRPr="008320F9">
        <w:rPr>
          <w:rFonts w:ascii="Garamond" w:hAnsi="Garamond"/>
          <w:u w:val="single"/>
        </w:rPr>
        <w:t>A</w:t>
      </w:r>
      <w:r w:rsidRPr="008320F9">
        <w:rPr>
          <w:rFonts w:ascii="Garamond" w:hAnsi="Garamond"/>
        </w:rPr>
        <w:t xml:space="preserve">ccessible, </w:t>
      </w:r>
      <w:r w:rsidRPr="008320F9">
        <w:rPr>
          <w:rFonts w:ascii="Garamond" w:hAnsi="Garamond"/>
          <w:u w:val="single"/>
        </w:rPr>
        <w:t>I</w:t>
      </w:r>
      <w:r w:rsidRPr="008320F9">
        <w:rPr>
          <w:rFonts w:ascii="Garamond" w:hAnsi="Garamond"/>
        </w:rPr>
        <w:t xml:space="preserve">nteroperable, </w:t>
      </w:r>
      <w:r w:rsidRPr="008320F9">
        <w:rPr>
          <w:rFonts w:ascii="Garamond" w:hAnsi="Garamond"/>
          <w:u w:val="single"/>
        </w:rPr>
        <w:t>R</w:t>
      </w:r>
      <w:r w:rsidRPr="008320F9">
        <w:rPr>
          <w:rFonts w:ascii="Garamond" w:hAnsi="Garamond"/>
        </w:rPr>
        <w:t>eusable)</w:t>
      </w:r>
      <w:r>
        <w:rPr>
          <w:rFonts w:ascii="Garamond" w:hAnsi="Garamond"/>
        </w:rPr>
        <w:t xml:space="preserve"> principles are addressed through the lens of CARE (</w:t>
      </w:r>
      <w:r w:rsidRPr="00DD7FAF">
        <w:rPr>
          <w:rFonts w:ascii="Garamond" w:hAnsi="Garamond"/>
          <w:u w:val="single"/>
        </w:rPr>
        <w:t>C</w:t>
      </w:r>
      <w:r>
        <w:rPr>
          <w:rFonts w:ascii="Garamond" w:hAnsi="Garamond"/>
        </w:rPr>
        <w:t xml:space="preserve">ollective Benefit, </w:t>
      </w:r>
      <w:r w:rsidRPr="00DD7FAF">
        <w:rPr>
          <w:rFonts w:ascii="Garamond" w:hAnsi="Garamond"/>
          <w:u w:val="single"/>
        </w:rPr>
        <w:t>A</w:t>
      </w:r>
      <w:r>
        <w:rPr>
          <w:rFonts w:ascii="Garamond" w:hAnsi="Garamond"/>
        </w:rPr>
        <w:t xml:space="preserve">uthority to Control, </w:t>
      </w:r>
      <w:r w:rsidRPr="00DD7FAF">
        <w:rPr>
          <w:rFonts w:ascii="Garamond" w:hAnsi="Garamond"/>
          <w:u w:val="single"/>
        </w:rPr>
        <w:t>R</w:t>
      </w:r>
      <w:r>
        <w:rPr>
          <w:rFonts w:ascii="Garamond" w:hAnsi="Garamond"/>
        </w:rPr>
        <w:t xml:space="preserve">esponsibility, </w:t>
      </w:r>
      <w:r w:rsidRPr="00DD7FAF">
        <w:rPr>
          <w:rFonts w:ascii="Garamond" w:hAnsi="Garamond"/>
          <w:u w:val="single"/>
        </w:rPr>
        <w:t>E</w:t>
      </w:r>
      <w:r>
        <w:rPr>
          <w:rFonts w:ascii="Garamond" w:hAnsi="Garamond"/>
        </w:rPr>
        <w:t>thics) principles.</w:t>
      </w:r>
    </w:p>
    <w:p w14:paraId="7D4003CC" w14:textId="77777777" w:rsidR="00821C18" w:rsidRDefault="00821C18" w:rsidP="00506954">
      <w:pPr>
        <w:pStyle w:val="Heading1"/>
      </w:pPr>
    </w:p>
    <w:p w14:paraId="457BE608" w14:textId="19661BAA" w:rsidR="00506954" w:rsidRDefault="00506954" w:rsidP="00506954">
      <w:pPr>
        <w:pStyle w:val="Heading1"/>
      </w:pPr>
      <w:r w:rsidRPr="00506954">
        <w:t>B</w:t>
      </w:r>
      <w:r w:rsidRPr="00506954">
        <w:t>ackground</w:t>
      </w:r>
    </w:p>
    <w:p w14:paraId="34B744FB" w14:textId="77777777" w:rsidR="009F61A6" w:rsidRDefault="00B80D93" w:rsidP="001E3EAF">
      <w:pPr>
        <w:rPr>
          <w:rFonts w:ascii="Garamond" w:hAnsi="Garamond"/>
        </w:rPr>
      </w:pPr>
      <w:r>
        <w:rPr>
          <w:rFonts w:ascii="Garamond" w:hAnsi="Garamond"/>
        </w:rPr>
        <w:t>Floo</w:t>
      </w:r>
      <w:r w:rsidR="001E3EAF">
        <w:rPr>
          <w:rFonts w:ascii="Garamond" w:hAnsi="Garamond"/>
        </w:rPr>
        <w:t xml:space="preserve">ds are natural hazards whose impacts are intensified or mitigated through direct and indirect human actions. </w:t>
      </w:r>
      <w:r w:rsidR="00C61B4A">
        <w:rPr>
          <w:rFonts w:ascii="Garamond" w:hAnsi="Garamond"/>
        </w:rPr>
        <w:t xml:space="preserve">Floodplain </w:t>
      </w:r>
      <w:r w:rsidR="004C19B2">
        <w:rPr>
          <w:rFonts w:ascii="Garamond" w:hAnsi="Garamond"/>
        </w:rPr>
        <w:t>designation</w:t>
      </w:r>
      <w:r w:rsidR="00C61B4A">
        <w:rPr>
          <w:rFonts w:ascii="Garamond" w:hAnsi="Garamond"/>
        </w:rPr>
        <w:t xml:space="preserve"> is a hazard mitigation approach </w:t>
      </w:r>
      <w:r w:rsidR="00C777AF">
        <w:rPr>
          <w:rFonts w:ascii="Garamond" w:hAnsi="Garamond"/>
        </w:rPr>
        <w:t xml:space="preserve">involves </w:t>
      </w:r>
      <w:r w:rsidR="004C19B2">
        <w:rPr>
          <w:rFonts w:ascii="Garamond" w:hAnsi="Garamond"/>
        </w:rPr>
        <w:t>determining</w:t>
      </w:r>
      <w:r w:rsidR="00C777AF">
        <w:rPr>
          <w:rFonts w:ascii="Garamond" w:hAnsi="Garamond"/>
        </w:rPr>
        <w:t xml:space="preserve"> the </w:t>
      </w:r>
      <w:r w:rsidR="009F61A6">
        <w:rPr>
          <w:rFonts w:ascii="Garamond" w:hAnsi="Garamond"/>
        </w:rPr>
        <w:t>discharge</w:t>
      </w:r>
      <w:r w:rsidR="00C777AF">
        <w:rPr>
          <w:rFonts w:ascii="Garamond" w:hAnsi="Garamond"/>
        </w:rPr>
        <w:t xml:space="preserve"> of a </w:t>
      </w:r>
      <w:r w:rsidR="0034597D">
        <w:rPr>
          <w:rFonts w:ascii="Garamond" w:hAnsi="Garamond"/>
        </w:rPr>
        <w:t xml:space="preserve">rare </w:t>
      </w:r>
      <w:r w:rsidR="00C777AF">
        <w:rPr>
          <w:rFonts w:ascii="Garamond" w:hAnsi="Garamond"/>
        </w:rPr>
        <w:t>flood</w:t>
      </w:r>
      <w:r w:rsidR="0034597D">
        <w:rPr>
          <w:rFonts w:ascii="Garamond" w:hAnsi="Garamond"/>
        </w:rPr>
        <w:t>, a flood</w:t>
      </w:r>
      <w:r w:rsidR="00C777AF">
        <w:rPr>
          <w:rFonts w:ascii="Garamond" w:hAnsi="Garamond"/>
        </w:rPr>
        <w:t xml:space="preserve"> with a 1-percent likelihood of occurring </w:t>
      </w:r>
      <w:proofErr w:type="gramStart"/>
      <w:r w:rsidR="00C777AF">
        <w:rPr>
          <w:rFonts w:ascii="Garamond" w:hAnsi="Garamond"/>
        </w:rPr>
        <w:t>in a given year</w:t>
      </w:r>
      <w:proofErr w:type="gramEnd"/>
      <w:r w:rsidR="00C777AF">
        <w:rPr>
          <w:rFonts w:ascii="Garamond" w:hAnsi="Garamond"/>
        </w:rPr>
        <w:t>, then modeling the land surface area that would be inundated by the floodwater.</w:t>
      </w:r>
      <w:r w:rsidR="00ED22D5">
        <w:rPr>
          <w:rFonts w:ascii="Garamond" w:hAnsi="Garamond"/>
        </w:rPr>
        <w:t xml:space="preserve"> </w:t>
      </w:r>
    </w:p>
    <w:p w14:paraId="675BF464" w14:textId="77777777" w:rsidR="009F61A6" w:rsidRDefault="009F61A6" w:rsidP="001E3EAF">
      <w:pPr>
        <w:rPr>
          <w:rFonts w:ascii="Garamond" w:hAnsi="Garamond"/>
        </w:rPr>
      </w:pPr>
    </w:p>
    <w:p w14:paraId="31BF9671" w14:textId="77777777" w:rsidR="009F61A6" w:rsidRDefault="004C19B2" w:rsidP="001E3EAF">
      <w:pPr>
        <w:rPr>
          <w:rFonts w:ascii="Garamond" w:hAnsi="Garamond"/>
        </w:rPr>
      </w:pPr>
      <w:r>
        <w:rPr>
          <w:rFonts w:ascii="Garamond" w:hAnsi="Garamond"/>
        </w:rPr>
        <w:lastRenderedPageBreak/>
        <w:t>F</w:t>
      </w:r>
      <w:r>
        <w:rPr>
          <w:rFonts w:ascii="Garamond" w:hAnsi="Garamond"/>
        </w:rPr>
        <w:t>lo</w:t>
      </w:r>
      <w:r w:rsidR="00ED22D5">
        <w:rPr>
          <w:rFonts w:ascii="Garamond" w:hAnsi="Garamond"/>
        </w:rPr>
        <w:t>w</w:t>
      </w:r>
      <w:r>
        <w:rPr>
          <w:rFonts w:ascii="Garamond" w:hAnsi="Garamond"/>
        </w:rPr>
        <w:t xml:space="preserve"> frequency analysis</w:t>
      </w:r>
      <w:r w:rsidR="00ED22D5">
        <w:rPr>
          <w:rFonts w:ascii="Garamond" w:hAnsi="Garamond"/>
        </w:rPr>
        <w:t xml:space="preserve"> is </w:t>
      </w:r>
      <w:r>
        <w:rPr>
          <w:rFonts w:ascii="Garamond" w:hAnsi="Garamond"/>
        </w:rPr>
        <w:t>t</w:t>
      </w:r>
      <w:r>
        <w:rPr>
          <w:rFonts w:ascii="Garamond" w:hAnsi="Garamond"/>
        </w:rPr>
        <w:t>he process of</w:t>
      </w:r>
      <w:r>
        <w:rPr>
          <w:rFonts w:ascii="Garamond" w:hAnsi="Garamond"/>
        </w:rPr>
        <w:t xml:space="preserve"> determining </w:t>
      </w:r>
      <w:r w:rsidR="00ED22D5">
        <w:rPr>
          <w:rFonts w:ascii="Garamond" w:hAnsi="Garamond"/>
        </w:rPr>
        <w:t xml:space="preserve">the statistical likelihood </w:t>
      </w:r>
      <w:r>
        <w:rPr>
          <w:rFonts w:ascii="Garamond" w:hAnsi="Garamond"/>
        </w:rPr>
        <w:t xml:space="preserve">a flood of a particular magnitude </w:t>
      </w:r>
      <w:r w:rsidR="00ED22D5">
        <w:rPr>
          <w:rFonts w:ascii="Garamond" w:hAnsi="Garamond"/>
        </w:rPr>
        <w:t>occurring</w:t>
      </w:r>
      <w:r>
        <w:rPr>
          <w:rFonts w:ascii="Garamond" w:hAnsi="Garamond"/>
        </w:rPr>
        <w:t xml:space="preserve"> </w:t>
      </w:r>
      <w:proofErr w:type="gramStart"/>
      <w:r>
        <w:rPr>
          <w:rFonts w:ascii="Garamond" w:hAnsi="Garamond"/>
        </w:rPr>
        <w:t>in a given year</w:t>
      </w:r>
      <w:proofErr w:type="gramEnd"/>
      <w:r w:rsidR="00ED22D5">
        <w:rPr>
          <w:rFonts w:ascii="Garamond" w:hAnsi="Garamond"/>
        </w:rPr>
        <w:t xml:space="preserve">. </w:t>
      </w:r>
    </w:p>
    <w:p w14:paraId="4A9978FC" w14:textId="77777777" w:rsidR="009F61A6" w:rsidRDefault="009F61A6" w:rsidP="001E3EAF">
      <w:pPr>
        <w:rPr>
          <w:rFonts w:ascii="Garamond" w:hAnsi="Garamond"/>
        </w:rPr>
      </w:pPr>
    </w:p>
    <w:p w14:paraId="013FF615" w14:textId="77777777" w:rsidR="00575C98" w:rsidRDefault="00ED22D5" w:rsidP="001E3EAF">
      <w:pPr>
        <w:rPr>
          <w:rFonts w:ascii="Garamond" w:hAnsi="Garamond"/>
        </w:rPr>
      </w:pPr>
      <w:r>
        <w:rPr>
          <w:rFonts w:ascii="Garamond" w:hAnsi="Garamond"/>
        </w:rPr>
        <w:t>Flo</w:t>
      </w:r>
      <w:r>
        <w:rPr>
          <w:rFonts w:ascii="Garamond" w:hAnsi="Garamond"/>
        </w:rPr>
        <w:t>w</w:t>
      </w:r>
      <w:r>
        <w:rPr>
          <w:rFonts w:ascii="Garamond" w:hAnsi="Garamond"/>
        </w:rPr>
        <w:t xml:space="preserve"> frequency analysis</w:t>
      </w:r>
      <w:r>
        <w:rPr>
          <w:rFonts w:ascii="Garamond" w:hAnsi="Garamond"/>
        </w:rPr>
        <w:t xml:space="preserve"> </w:t>
      </w:r>
      <w:r w:rsidR="004C19B2">
        <w:rPr>
          <w:rFonts w:ascii="Garamond" w:hAnsi="Garamond"/>
        </w:rPr>
        <w:t xml:space="preserve">involves </w:t>
      </w:r>
      <w:r w:rsidR="009969F7">
        <w:rPr>
          <w:rFonts w:ascii="Garamond" w:hAnsi="Garamond"/>
        </w:rPr>
        <w:t>fitting a statistical distribution</w:t>
      </w:r>
      <w:r w:rsidR="00575C98">
        <w:rPr>
          <w:rFonts w:ascii="Garamond" w:hAnsi="Garamond"/>
        </w:rPr>
        <w:t xml:space="preserve"> </w:t>
      </w:r>
      <w:r w:rsidR="00496F64">
        <w:rPr>
          <w:rFonts w:ascii="Garamond" w:hAnsi="Garamond"/>
        </w:rPr>
        <w:t xml:space="preserve">to </w:t>
      </w:r>
      <w:r w:rsidR="00575C98">
        <w:rPr>
          <w:rFonts w:ascii="Garamond" w:hAnsi="Garamond"/>
        </w:rPr>
        <w:t>the peak discharge series</w:t>
      </w:r>
      <w:r w:rsidR="00575C98">
        <w:rPr>
          <w:rFonts w:ascii="Garamond" w:hAnsi="Garamond"/>
        </w:rPr>
        <w:t xml:space="preserve">, the </w:t>
      </w:r>
      <w:r>
        <w:rPr>
          <w:rFonts w:ascii="Garamond" w:hAnsi="Garamond"/>
        </w:rPr>
        <w:t xml:space="preserve">largest </w:t>
      </w:r>
      <w:r w:rsidR="00575C98">
        <w:rPr>
          <w:rFonts w:ascii="Garamond" w:hAnsi="Garamond"/>
        </w:rPr>
        <w:t xml:space="preserve">annual </w:t>
      </w:r>
      <w:r>
        <w:rPr>
          <w:rFonts w:ascii="Garamond" w:hAnsi="Garamond"/>
        </w:rPr>
        <w:t>instantaneous discharge</w:t>
      </w:r>
      <w:r w:rsidR="00575C98">
        <w:rPr>
          <w:rFonts w:ascii="Garamond" w:hAnsi="Garamond"/>
        </w:rPr>
        <w:t xml:space="preserve"> over the period of record, the time over which stream discharge was measured.</w:t>
      </w:r>
    </w:p>
    <w:p w14:paraId="571DDD41" w14:textId="17CF280B" w:rsidR="00575C98" w:rsidRDefault="00575C98" w:rsidP="001E3EAF">
      <w:pPr>
        <w:rPr>
          <w:rFonts w:ascii="Garamond" w:hAnsi="Garamond"/>
        </w:rPr>
      </w:pPr>
      <w:r>
        <w:rPr>
          <w:rFonts w:ascii="Garamond" w:hAnsi="Garamond"/>
        </w:rPr>
        <w:t xml:space="preserve"> </w:t>
      </w:r>
    </w:p>
    <w:p w14:paraId="30836182" w14:textId="4EFC9B9D" w:rsidR="00184900" w:rsidRDefault="00575C98" w:rsidP="001E3EAF">
      <w:pPr>
        <w:rPr>
          <w:rFonts w:ascii="Garamond" w:hAnsi="Garamond"/>
        </w:rPr>
      </w:pPr>
      <w:r>
        <w:rPr>
          <w:rFonts w:ascii="Garamond" w:hAnsi="Garamond"/>
        </w:rPr>
        <w:t>The statistical distribution is fitted to the peak discharge series using the skewness</w:t>
      </w:r>
      <w:r w:rsidR="00184900">
        <w:rPr>
          <w:rFonts w:ascii="Garamond" w:hAnsi="Garamond"/>
        </w:rPr>
        <w:t xml:space="preserve"> coefficient</w:t>
      </w:r>
      <w:r>
        <w:rPr>
          <w:rFonts w:ascii="Garamond" w:hAnsi="Garamond"/>
        </w:rPr>
        <w:t xml:space="preserve"> of the peak discharge series at a </w:t>
      </w:r>
      <w:r w:rsidR="00184900">
        <w:rPr>
          <w:rFonts w:ascii="Garamond" w:hAnsi="Garamond"/>
        </w:rPr>
        <w:t xml:space="preserve">particular gage, a stream discharge recording station </w:t>
      </w:r>
      <w:r>
        <w:rPr>
          <w:rFonts w:ascii="Garamond" w:hAnsi="Garamond"/>
        </w:rPr>
        <w:t xml:space="preserve">and </w:t>
      </w:r>
      <w:r w:rsidR="00184900">
        <w:rPr>
          <w:rFonts w:ascii="Garamond" w:hAnsi="Garamond"/>
        </w:rPr>
        <w:t xml:space="preserve">a </w:t>
      </w:r>
      <w:r w:rsidR="00184900">
        <w:rPr>
          <w:rFonts w:ascii="Garamond" w:hAnsi="Garamond"/>
        </w:rPr>
        <w:t>regional skewness coefficient</w:t>
      </w:r>
      <w:r w:rsidR="00184900">
        <w:rPr>
          <w:rFonts w:ascii="Garamond" w:hAnsi="Garamond"/>
        </w:rPr>
        <w:t>, an average of the skewness coefficients of similar gages.</w:t>
      </w:r>
    </w:p>
    <w:p w14:paraId="6467F4BA" w14:textId="77777777" w:rsidR="00ED22D5" w:rsidRDefault="00ED22D5" w:rsidP="001E3EAF">
      <w:pPr>
        <w:rPr>
          <w:rFonts w:ascii="Garamond" w:hAnsi="Garamond"/>
        </w:rPr>
      </w:pPr>
    </w:p>
    <w:p w14:paraId="2F95AE7E" w14:textId="1F1AB79E" w:rsidR="009F61A6" w:rsidRDefault="00C07921" w:rsidP="00C07921">
      <w:pPr>
        <w:rPr>
          <w:rFonts w:ascii="Garamond" w:hAnsi="Garamond"/>
        </w:rPr>
      </w:pPr>
      <w:r>
        <w:rPr>
          <w:rFonts w:ascii="Garamond" w:hAnsi="Garamond"/>
        </w:rPr>
        <w:t>Two major sources of uncertainty in f</w:t>
      </w:r>
      <w:r>
        <w:rPr>
          <w:rFonts w:ascii="Garamond" w:hAnsi="Garamond"/>
        </w:rPr>
        <w:t>low frequency analysis</w:t>
      </w:r>
      <w:r>
        <w:rPr>
          <w:rFonts w:ascii="Garamond" w:hAnsi="Garamond"/>
        </w:rPr>
        <w:t xml:space="preserve"> are: 1) the peak discharge of a rare flood is </w:t>
      </w:r>
      <w:r w:rsidR="00ED22D5">
        <w:rPr>
          <w:rFonts w:ascii="Garamond" w:hAnsi="Garamond"/>
        </w:rPr>
        <w:t xml:space="preserve">substantially larger than </w:t>
      </w:r>
      <w:proofErr w:type="gramStart"/>
      <w:r>
        <w:rPr>
          <w:rFonts w:ascii="Garamond" w:hAnsi="Garamond"/>
        </w:rPr>
        <w:t xml:space="preserve">a </w:t>
      </w:r>
      <w:r>
        <w:rPr>
          <w:rFonts w:ascii="Garamond" w:hAnsi="Garamond"/>
        </w:rPr>
        <w:t>majority</w:t>
      </w:r>
      <w:r>
        <w:rPr>
          <w:rFonts w:ascii="Garamond" w:hAnsi="Garamond"/>
        </w:rPr>
        <w:t xml:space="preserve"> of</w:t>
      </w:r>
      <w:proofErr w:type="gramEnd"/>
      <w:r>
        <w:rPr>
          <w:rFonts w:ascii="Garamond" w:hAnsi="Garamond"/>
        </w:rPr>
        <w:t xml:space="preserve"> the peak discharge over the period of record, and 2) </w:t>
      </w:r>
      <w:r w:rsidR="009F61A6">
        <w:rPr>
          <w:rFonts w:ascii="Garamond" w:hAnsi="Garamond"/>
        </w:rPr>
        <w:t xml:space="preserve">because </w:t>
      </w:r>
      <w:r>
        <w:rPr>
          <w:rFonts w:ascii="Garamond" w:hAnsi="Garamond"/>
        </w:rPr>
        <w:t xml:space="preserve">the </w:t>
      </w:r>
      <w:r w:rsidR="009F61A6">
        <w:rPr>
          <w:rFonts w:ascii="Garamond" w:hAnsi="Garamond"/>
        </w:rPr>
        <w:t xml:space="preserve">available </w:t>
      </w:r>
      <w:r>
        <w:rPr>
          <w:rFonts w:ascii="Garamond" w:hAnsi="Garamond"/>
        </w:rPr>
        <w:t xml:space="preserve">period of record </w:t>
      </w:r>
      <w:r w:rsidR="009F61A6">
        <w:rPr>
          <w:rFonts w:ascii="Garamond" w:hAnsi="Garamond"/>
        </w:rPr>
        <w:t>is short, most often 20 to 30 years, a rare flood might not occur within the period of record</w:t>
      </w:r>
    </w:p>
    <w:p w14:paraId="0E29B5FD" w14:textId="11F2BAD9" w:rsidR="009F61A6" w:rsidRDefault="009F61A6" w:rsidP="001E3EAF">
      <w:pPr>
        <w:rPr>
          <w:rFonts w:ascii="Garamond" w:hAnsi="Garamond"/>
        </w:rPr>
      </w:pPr>
    </w:p>
    <w:p w14:paraId="0E63B7EB" w14:textId="77777777" w:rsidR="009F61A6" w:rsidRDefault="009F61A6" w:rsidP="001E3EAF">
      <w:pPr>
        <w:rPr>
          <w:rFonts w:ascii="Garamond" w:hAnsi="Garamond"/>
        </w:rPr>
      </w:pPr>
      <w:r>
        <w:rPr>
          <w:rFonts w:ascii="Garamond" w:hAnsi="Garamond"/>
        </w:rPr>
        <w:t xml:space="preserve">To reduce uncertainty </w:t>
      </w:r>
    </w:p>
    <w:p w14:paraId="0C13035E" w14:textId="77777777" w:rsidR="009F61A6" w:rsidRDefault="009F61A6" w:rsidP="001E3EAF">
      <w:pPr>
        <w:rPr>
          <w:rFonts w:ascii="Garamond" w:hAnsi="Garamond"/>
        </w:rPr>
      </w:pPr>
    </w:p>
    <w:p w14:paraId="24349EBC" w14:textId="48BF63AF" w:rsidR="009F61A6" w:rsidRDefault="009F61A6" w:rsidP="001E3EAF">
      <w:pPr>
        <w:rPr>
          <w:rFonts w:ascii="Garamond" w:hAnsi="Garamond"/>
        </w:rPr>
      </w:pPr>
      <w:r>
        <w:rPr>
          <w:rFonts w:ascii="Garamond" w:hAnsi="Garamond"/>
        </w:rPr>
        <w:t xml:space="preserve">A regional skew coefficient is added to </w:t>
      </w:r>
    </w:p>
    <w:p w14:paraId="62B6B297" w14:textId="77777777" w:rsidR="00C777AF" w:rsidRDefault="00C777AF" w:rsidP="001E3EAF">
      <w:pPr>
        <w:rPr>
          <w:rFonts w:ascii="Garamond" w:hAnsi="Garamond"/>
        </w:rPr>
      </w:pPr>
    </w:p>
    <w:p w14:paraId="65E13976" w14:textId="77777777" w:rsidR="00EE6D7E" w:rsidRDefault="00EE6D7E" w:rsidP="00720179">
      <w:pPr>
        <w:rPr>
          <w:rFonts w:ascii="Garamond" w:hAnsi="Garamond"/>
        </w:rPr>
      </w:pPr>
    </w:p>
    <w:p w14:paraId="4D95C9AB" w14:textId="77777777" w:rsidR="00EE6D7E" w:rsidRDefault="00EE6D7E" w:rsidP="00720179">
      <w:pPr>
        <w:rPr>
          <w:rFonts w:ascii="Garamond" w:hAnsi="Garamond"/>
        </w:rPr>
      </w:pPr>
    </w:p>
    <w:p w14:paraId="72384EBC" w14:textId="2BDB5EC6" w:rsidR="00506954" w:rsidRPr="00506954" w:rsidRDefault="00506954" w:rsidP="00506954">
      <w:pPr>
        <w:pStyle w:val="Heading1"/>
      </w:pPr>
      <w:r w:rsidRPr="00506954">
        <w:t xml:space="preserve">approach, </w:t>
      </w:r>
    </w:p>
    <w:p w14:paraId="75316772" w14:textId="77777777" w:rsidR="00506954" w:rsidRDefault="00506954" w:rsidP="00506954">
      <w:pPr>
        <w:pStyle w:val="Heading1"/>
      </w:pPr>
      <w:r w:rsidRPr="00506954">
        <w:t>discussion.</w:t>
      </w:r>
    </w:p>
    <w:p w14:paraId="74819744" w14:textId="1B52A77A" w:rsidR="00F42E25" w:rsidRPr="00F42E25" w:rsidRDefault="00F42E25" w:rsidP="00F42E25"/>
    <w:p w14:paraId="48F52DBA" w14:textId="17B4E300" w:rsidR="00F42E25" w:rsidRDefault="00F42E25" w:rsidP="00F42E25">
      <w:pPr>
        <w:pStyle w:val="Heading1"/>
      </w:pPr>
      <w:r>
        <w:t>Next Steps</w:t>
      </w:r>
    </w:p>
    <w:p w14:paraId="6FA95655" w14:textId="128801A9" w:rsidR="001E3EAF" w:rsidRDefault="001E3EAF">
      <w:r>
        <w:br w:type="page"/>
      </w:r>
    </w:p>
    <w:p w14:paraId="06B468AB" w14:textId="77777777" w:rsidR="001E3EAF" w:rsidRDefault="001E3EAF" w:rsidP="001E3EAF"/>
    <w:p w14:paraId="1C49B013" w14:textId="2F455985" w:rsidR="001E3EAF" w:rsidRPr="001E3EAF" w:rsidRDefault="001E3EAF" w:rsidP="001E3EAF">
      <w:r w:rsidRPr="001E3EAF">
        <w:t>https://www.google.com/books/edition/Natural_Hazards/_TpbEAAAQBAJ?hl=en&amp;gbpv=1&amp;dq=floods+as+hazards&amp;pg=PA21&amp;printsec=frontcover</w:t>
      </w:r>
    </w:p>
    <w:p w14:paraId="035A88DD" w14:textId="77777777" w:rsidR="00802EAC" w:rsidRPr="00506954" w:rsidRDefault="00802EAC">
      <w:pPr>
        <w:rPr>
          <w:rFonts w:ascii="Garamond" w:hAnsi="Garamond"/>
        </w:rPr>
      </w:pPr>
    </w:p>
    <w:p w14:paraId="53573911" w14:textId="77777777" w:rsidR="00506954" w:rsidRPr="00506954" w:rsidRDefault="00506954" w:rsidP="00506954">
      <w:pPr>
        <w:rPr>
          <w:rFonts w:ascii="Garamond" w:hAnsi="Garamond"/>
        </w:rPr>
      </w:pPr>
      <w:r w:rsidRPr="00506954">
        <w:rPr>
          <w:rFonts w:ascii="Garamond" w:hAnsi="Garamond"/>
        </w:rPr>
        <w:t>## Overview</w:t>
      </w:r>
    </w:p>
    <w:p w14:paraId="54352B59" w14:textId="77777777" w:rsidR="00506954" w:rsidRPr="00506954" w:rsidRDefault="00506954" w:rsidP="00506954">
      <w:pPr>
        <w:rPr>
          <w:rFonts w:ascii="Garamond" w:hAnsi="Garamond"/>
        </w:rPr>
      </w:pPr>
    </w:p>
    <w:p w14:paraId="16CCDDEF" w14:textId="77777777" w:rsidR="00506954" w:rsidRPr="00506954" w:rsidRDefault="00506954" w:rsidP="00506954">
      <w:pPr>
        <w:rPr>
          <w:rFonts w:ascii="Garamond" w:hAnsi="Garamond"/>
        </w:rPr>
      </w:pPr>
      <w:r w:rsidRPr="00506954">
        <w:rPr>
          <w:rFonts w:ascii="Garamond" w:hAnsi="Garamond"/>
        </w:rPr>
        <w:t>Regional skew coefficients are necessary to determine flood frequency following [Bulletin 17</w:t>
      </w:r>
      <w:proofErr w:type="gramStart"/>
      <w:r w:rsidRPr="00506954">
        <w:rPr>
          <w:rFonts w:ascii="Garamond" w:hAnsi="Garamond"/>
        </w:rPr>
        <w:t>C](</w:t>
      </w:r>
      <w:proofErr w:type="gramEnd"/>
      <w:r w:rsidRPr="00506954">
        <w:rPr>
          <w:rFonts w:ascii="Garamond" w:hAnsi="Garamond"/>
        </w:rPr>
        <w:t xml:space="preserve">https://pubs.usgs.gov/publication/tm4B5) guidelines. The goal of </w:t>
      </w:r>
      <w:proofErr w:type="spellStart"/>
      <w:r w:rsidRPr="00506954">
        <w:rPr>
          <w:rFonts w:ascii="Garamond" w:hAnsi="Garamond"/>
        </w:rPr>
        <w:t>FFA_</w:t>
      </w:r>
      <w:proofErr w:type="gramStart"/>
      <w:r w:rsidRPr="00506954">
        <w:rPr>
          <w:rFonts w:ascii="Garamond" w:hAnsi="Garamond"/>
        </w:rPr>
        <w:t>regional</w:t>
      </w:r>
      <w:proofErr w:type="spellEnd"/>
      <w:r w:rsidRPr="00506954">
        <w:rPr>
          <w:rFonts w:ascii="Garamond" w:hAnsi="Garamond"/>
        </w:rPr>
        <w:t>-skew</w:t>
      </w:r>
      <w:proofErr w:type="gramEnd"/>
      <w:r w:rsidRPr="00506954">
        <w:rPr>
          <w:rFonts w:ascii="Garamond" w:hAnsi="Garamond"/>
        </w:rPr>
        <w:t xml:space="preserve"> is to estimate a regional skew coefficients for stream gages in the Northwestern Great Plains and northern portion of the High Plains sections of the Great Plains within southeastern Montana, eastern Wyoming, northeastern Colorado, and the western portions of Nebraska and the Dakotas.</w:t>
      </w:r>
    </w:p>
    <w:p w14:paraId="4C6AE32E" w14:textId="77777777" w:rsidR="00506954" w:rsidRPr="00506954" w:rsidRDefault="00506954" w:rsidP="00506954">
      <w:pPr>
        <w:rPr>
          <w:rFonts w:ascii="Garamond" w:hAnsi="Garamond"/>
        </w:rPr>
      </w:pPr>
    </w:p>
    <w:p w14:paraId="3B9A2EE2" w14:textId="77777777" w:rsidR="00506954" w:rsidRPr="00506954" w:rsidRDefault="00506954" w:rsidP="00506954">
      <w:pPr>
        <w:rPr>
          <w:rFonts w:ascii="Garamond" w:hAnsi="Garamond"/>
        </w:rPr>
      </w:pPr>
      <w:r w:rsidRPr="00506954">
        <w:rPr>
          <w:rFonts w:ascii="Garamond" w:hAnsi="Garamond"/>
        </w:rPr>
        <w:t>&lt;!--</w:t>
      </w:r>
    </w:p>
    <w:p w14:paraId="25055F68" w14:textId="77777777" w:rsidR="00506954" w:rsidRPr="00506954" w:rsidRDefault="00506954" w:rsidP="00506954">
      <w:pPr>
        <w:rPr>
          <w:rFonts w:ascii="Garamond" w:hAnsi="Garamond"/>
        </w:rPr>
      </w:pPr>
    </w:p>
    <w:p w14:paraId="5A29E150" w14:textId="77777777" w:rsidR="00506954" w:rsidRPr="00506954" w:rsidRDefault="00506954" w:rsidP="00506954">
      <w:pPr>
        <w:rPr>
          <w:rFonts w:ascii="Garamond" w:hAnsi="Garamond"/>
        </w:rPr>
      </w:pPr>
      <w:r w:rsidRPr="00506954">
        <w:rPr>
          <w:rFonts w:ascii="Garamond" w:hAnsi="Garamond"/>
        </w:rPr>
        <w:t xml:space="preserve">the [level-3 </w:t>
      </w:r>
      <w:proofErr w:type="gramStart"/>
      <w:r w:rsidRPr="00506954">
        <w:rPr>
          <w:rFonts w:ascii="Garamond" w:hAnsi="Garamond"/>
        </w:rPr>
        <w:t>ecoregions](</w:t>
      </w:r>
      <w:proofErr w:type="gramEnd"/>
      <w:r w:rsidRPr="00506954">
        <w:rPr>
          <w:rFonts w:ascii="Garamond" w:hAnsi="Garamond"/>
        </w:rPr>
        <w:t xml:space="preserve">https://www.epa.gov/eco-research/level-iii-and-iv-ecoregions-continental-united-states) for peak flow gages in </w:t>
      </w:r>
    </w:p>
    <w:p w14:paraId="13B58D50" w14:textId="77777777" w:rsidR="00506954" w:rsidRPr="00506954" w:rsidRDefault="00506954" w:rsidP="00506954">
      <w:pPr>
        <w:rPr>
          <w:rFonts w:ascii="Garamond" w:hAnsi="Garamond"/>
        </w:rPr>
      </w:pPr>
    </w:p>
    <w:p w14:paraId="36FAE1F9" w14:textId="77777777" w:rsidR="00506954" w:rsidRPr="00506954" w:rsidRDefault="00506954" w:rsidP="00506954">
      <w:pPr>
        <w:rPr>
          <w:rFonts w:ascii="Garamond" w:hAnsi="Garamond"/>
        </w:rPr>
      </w:pPr>
      <w:r w:rsidRPr="00506954">
        <w:rPr>
          <w:rFonts w:ascii="Garamond" w:hAnsi="Garamond"/>
        </w:rPr>
        <w:t xml:space="preserve">West-central Prairie ecoregion **add link to level 3 ecoregion maps**. </w:t>
      </w:r>
    </w:p>
    <w:p w14:paraId="51BBD1DE" w14:textId="77777777" w:rsidR="00506954" w:rsidRPr="00506954" w:rsidRDefault="00506954" w:rsidP="00506954">
      <w:pPr>
        <w:rPr>
          <w:rFonts w:ascii="Garamond" w:hAnsi="Garamond"/>
        </w:rPr>
      </w:pPr>
    </w:p>
    <w:p w14:paraId="2D6F0545" w14:textId="77777777" w:rsidR="00506954" w:rsidRPr="00506954" w:rsidRDefault="00506954" w:rsidP="00506954">
      <w:pPr>
        <w:rPr>
          <w:rFonts w:ascii="Garamond" w:hAnsi="Garamond"/>
        </w:rPr>
      </w:pPr>
      <w:r w:rsidRPr="00506954">
        <w:rPr>
          <w:rFonts w:ascii="Garamond" w:hAnsi="Garamond"/>
        </w:rPr>
        <w:t>--&gt;</w:t>
      </w:r>
    </w:p>
    <w:p w14:paraId="1729F6D2" w14:textId="77777777" w:rsidR="00506954" w:rsidRPr="00506954" w:rsidRDefault="00506954" w:rsidP="00506954">
      <w:pPr>
        <w:rPr>
          <w:rFonts w:ascii="Garamond" w:hAnsi="Garamond"/>
        </w:rPr>
      </w:pPr>
    </w:p>
    <w:p w14:paraId="3FEE8618" w14:textId="77777777" w:rsidR="00506954" w:rsidRPr="00506954" w:rsidRDefault="00506954" w:rsidP="00506954">
      <w:pPr>
        <w:rPr>
          <w:rFonts w:ascii="Garamond" w:hAnsi="Garamond"/>
        </w:rPr>
      </w:pPr>
      <w:r w:rsidRPr="00506954">
        <w:rPr>
          <w:rFonts w:ascii="Garamond" w:hAnsi="Garamond"/>
        </w:rPr>
        <w:t>## Study Area</w:t>
      </w:r>
    </w:p>
    <w:p w14:paraId="3C9B1C36" w14:textId="77777777" w:rsidR="00506954" w:rsidRPr="00506954" w:rsidRDefault="00506954" w:rsidP="00506954">
      <w:pPr>
        <w:rPr>
          <w:rFonts w:ascii="Garamond" w:hAnsi="Garamond"/>
        </w:rPr>
      </w:pPr>
      <w:r w:rsidRPr="00506954">
        <w:rPr>
          <w:rFonts w:ascii="Garamond" w:hAnsi="Garamond"/>
        </w:rPr>
        <w:t>&lt;!--</w:t>
      </w:r>
    </w:p>
    <w:p w14:paraId="25962720" w14:textId="77777777" w:rsidR="00506954" w:rsidRPr="00506954" w:rsidRDefault="00506954" w:rsidP="00506954">
      <w:pPr>
        <w:rPr>
          <w:rFonts w:ascii="Garamond" w:hAnsi="Garamond"/>
        </w:rPr>
      </w:pPr>
      <w:r w:rsidRPr="00506954">
        <w:rPr>
          <w:rFonts w:ascii="Garamond" w:hAnsi="Garamond"/>
        </w:rPr>
        <w:t>Bounding box needs to extend further south than the Nebraska border</w:t>
      </w:r>
    </w:p>
    <w:p w14:paraId="0C67B27F" w14:textId="77777777" w:rsidR="00506954" w:rsidRPr="00506954" w:rsidRDefault="00506954" w:rsidP="00506954">
      <w:pPr>
        <w:rPr>
          <w:rFonts w:ascii="Garamond" w:hAnsi="Garamond"/>
        </w:rPr>
      </w:pPr>
      <w:r w:rsidRPr="00506954">
        <w:rPr>
          <w:rFonts w:ascii="Garamond" w:hAnsi="Garamond"/>
        </w:rPr>
        <w:t>--&gt;</w:t>
      </w:r>
    </w:p>
    <w:p w14:paraId="01376AA3" w14:textId="77777777" w:rsidR="00506954" w:rsidRPr="00506954" w:rsidRDefault="00506954" w:rsidP="00506954">
      <w:pPr>
        <w:rPr>
          <w:rFonts w:ascii="Garamond" w:hAnsi="Garamond"/>
        </w:rPr>
      </w:pPr>
    </w:p>
    <w:p w14:paraId="4602A10B" w14:textId="77777777" w:rsidR="00506954" w:rsidRPr="00506954" w:rsidRDefault="00506954" w:rsidP="00506954">
      <w:pPr>
        <w:rPr>
          <w:rFonts w:ascii="Garamond" w:hAnsi="Garamond"/>
        </w:rPr>
      </w:pPr>
      <w:r w:rsidRPr="00506954">
        <w:rPr>
          <w:rFonts w:ascii="Garamond" w:hAnsi="Garamond"/>
        </w:rPr>
        <w:t>The study area encompasses the Northwestern Great Plains and the northern portion of the High Plains ecoregion. Northwestern Great Plains ecoregion encompasses the Missouri Plateau section of the Great Plains in southeastern Montana, northeastern Wyoming, and the western portion of the Dakotas. The northern portion of the High Plains ecoregion encompasses southeastern Wyoming, western Nebraska, eastern Colorado, and western Kansas (http://www.cec.org/files/documents/publications/10415-north-american-terrestrial-ecoregionslevel-iii-en.pdf).</w:t>
      </w:r>
    </w:p>
    <w:p w14:paraId="6DE8F4D1" w14:textId="77777777" w:rsidR="00506954" w:rsidRPr="00506954" w:rsidRDefault="00506954" w:rsidP="00506954">
      <w:pPr>
        <w:rPr>
          <w:rFonts w:ascii="Garamond" w:hAnsi="Garamond"/>
        </w:rPr>
      </w:pPr>
    </w:p>
    <w:p w14:paraId="1D04E8B8" w14:textId="77777777" w:rsidR="00506954" w:rsidRPr="00506954" w:rsidRDefault="00506954" w:rsidP="00506954">
      <w:pPr>
        <w:rPr>
          <w:rFonts w:ascii="Garamond" w:hAnsi="Garamond"/>
        </w:rPr>
      </w:pPr>
      <w:r w:rsidRPr="00506954">
        <w:rPr>
          <w:rFonts w:ascii="Garamond" w:hAnsi="Garamond"/>
        </w:rPr>
        <w:t xml:space="preserve">The study </w:t>
      </w:r>
      <w:proofErr w:type="gramStart"/>
      <w:r w:rsidRPr="00506954">
        <w:rPr>
          <w:rFonts w:ascii="Garamond" w:hAnsi="Garamond"/>
        </w:rPr>
        <w:t>area  is</w:t>
      </w:r>
      <w:proofErr w:type="gramEnd"/>
      <w:r w:rsidRPr="00506954">
        <w:rPr>
          <w:rFonts w:ascii="Garamond" w:hAnsi="Garamond"/>
        </w:rPr>
        <w:t xml:space="preserve"> a dry mid-latitude steppe climate marked by hot summers and cold winters, and a mean annual temperature varying by latitude.</w:t>
      </w:r>
    </w:p>
    <w:p w14:paraId="606098CF" w14:textId="77777777" w:rsidR="00506954" w:rsidRPr="00506954" w:rsidRDefault="00506954" w:rsidP="00506954">
      <w:pPr>
        <w:rPr>
          <w:rFonts w:ascii="Garamond" w:hAnsi="Garamond"/>
        </w:rPr>
      </w:pPr>
    </w:p>
    <w:p w14:paraId="74D31F5A" w14:textId="77777777" w:rsidR="00506954" w:rsidRPr="00506954" w:rsidRDefault="00506954" w:rsidP="00506954">
      <w:pPr>
        <w:rPr>
          <w:rFonts w:ascii="Garamond" w:hAnsi="Garamond"/>
        </w:rPr>
      </w:pPr>
      <w:r w:rsidRPr="00506954">
        <w:rPr>
          <w:rFonts w:ascii="Garamond" w:hAnsi="Garamond"/>
        </w:rPr>
        <w:t>&lt;!--</w:t>
      </w:r>
    </w:p>
    <w:p w14:paraId="6266BDF3" w14:textId="77777777" w:rsidR="00506954" w:rsidRPr="00506954" w:rsidRDefault="00506954" w:rsidP="00506954">
      <w:pPr>
        <w:rPr>
          <w:rFonts w:ascii="Garamond" w:hAnsi="Garamond"/>
        </w:rPr>
      </w:pPr>
      <w:r w:rsidRPr="00506954">
        <w:rPr>
          <w:rFonts w:ascii="Garamond" w:hAnsi="Garamond"/>
        </w:rPr>
        <w:t xml:space="preserve">The mean annual temperature of the Northwestern Great Plains ranges from of approximately $5C$ in some northern areas to 8.5C in the south. </w:t>
      </w:r>
    </w:p>
    <w:p w14:paraId="1A91EFAB" w14:textId="77777777" w:rsidR="00506954" w:rsidRPr="00506954" w:rsidRDefault="00506954" w:rsidP="00506954">
      <w:pPr>
        <w:rPr>
          <w:rFonts w:ascii="Garamond" w:hAnsi="Garamond"/>
        </w:rPr>
      </w:pPr>
      <w:r w:rsidRPr="00506954">
        <w:rPr>
          <w:rFonts w:ascii="Garamond" w:hAnsi="Garamond"/>
        </w:rPr>
        <w:t xml:space="preserve">The mean annual temperature of the High Plains ranges from approximately 8C in the north to 17C in the far south. </w:t>
      </w:r>
    </w:p>
    <w:p w14:paraId="6BA4252C" w14:textId="77777777" w:rsidR="00506954" w:rsidRPr="00506954" w:rsidRDefault="00506954" w:rsidP="00506954">
      <w:pPr>
        <w:rPr>
          <w:rFonts w:ascii="Garamond" w:hAnsi="Garamond"/>
        </w:rPr>
      </w:pPr>
    </w:p>
    <w:p w14:paraId="1332EFB7" w14:textId="77777777" w:rsidR="00506954" w:rsidRPr="00506954" w:rsidRDefault="00506954" w:rsidP="00506954">
      <w:pPr>
        <w:rPr>
          <w:rFonts w:ascii="Garamond" w:hAnsi="Garamond"/>
        </w:rPr>
      </w:pPr>
      <w:r w:rsidRPr="00506954">
        <w:rPr>
          <w:rFonts w:ascii="Garamond" w:hAnsi="Garamond"/>
        </w:rPr>
        <w:t>Northwestern Great Plains--The frost-free period ranges from 90 days to 155 days. The mean annual precipitation is 393 mm, ranging from 250 to 510 mm."</w:t>
      </w:r>
    </w:p>
    <w:p w14:paraId="2422F428" w14:textId="77777777" w:rsidR="00506954" w:rsidRPr="00506954" w:rsidRDefault="00506954" w:rsidP="00506954">
      <w:pPr>
        <w:rPr>
          <w:rFonts w:ascii="Garamond" w:hAnsi="Garamond"/>
        </w:rPr>
      </w:pPr>
    </w:p>
    <w:p w14:paraId="6BFD709B" w14:textId="77777777" w:rsidR="00506954" w:rsidRPr="00506954" w:rsidRDefault="00506954" w:rsidP="00506954">
      <w:pPr>
        <w:rPr>
          <w:rFonts w:ascii="Garamond" w:hAnsi="Garamond"/>
        </w:rPr>
      </w:pPr>
      <w:r w:rsidRPr="00506954">
        <w:rPr>
          <w:rFonts w:ascii="Garamond" w:hAnsi="Garamond"/>
        </w:rPr>
        <w:lastRenderedPageBreak/>
        <w:t>High Plains--The frost-free period ranges from 120 to 230 days. The mean annual precipitation is 433 mm, and ranges from 305 to 530 mm.</w:t>
      </w:r>
    </w:p>
    <w:p w14:paraId="74D5CE7C" w14:textId="77777777" w:rsidR="00506954" w:rsidRPr="00506954" w:rsidRDefault="00506954" w:rsidP="00506954">
      <w:pPr>
        <w:rPr>
          <w:rFonts w:ascii="Garamond" w:hAnsi="Garamond"/>
        </w:rPr>
      </w:pPr>
    </w:p>
    <w:p w14:paraId="495F65B4" w14:textId="77777777" w:rsidR="00506954" w:rsidRPr="00506954" w:rsidRDefault="00506954" w:rsidP="00506954">
      <w:pPr>
        <w:rPr>
          <w:rFonts w:ascii="Garamond" w:hAnsi="Garamond"/>
        </w:rPr>
      </w:pPr>
      <w:r w:rsidRPr="00506954">
        <w:rPr>
          <w:rFonts w:ascii="Garamond" w:hAnsi="Garamond"/>
        </w:rPr>
        <w:t xml:space="preserve">NGP Vegetation: Grasslands persist in rangeland areas, especially on broken topography, but have been replaced by cropland on some areas of level ground. Shortgrass and </w:t>
      </w:r>
      <w:proofErr w:type="spellStart"/>
      <w:r w:rsidRPr="00506954">
        <w:rPr>
          <w:rFonts w:ascii="Garamond" w:hAnsi="Garamond"/>
        </w:rPr>
        <w:t>mixedgrass</w:t>
      </w:r>
      <w:proofErr w:type="spellEnd"/>
      <w:r w:rsidRPr="00506954">
        <w:rPr>
          <w:rFonts w:ascii="Garamond" w:hAnsi="Garamond"/>
        </w:rPr>
        <w:t xml:space="preserve"> prairies contain blue grama, western wheatgrass, green needlegrass, prairie sandreed, and buffalograss. There are areas of sagebrush steppe with fringed sage, Wyoming big sagebrush, rabbitbrush, and sand sagebrush; some areas have scattered ponderosa pine and Rocky Mountain juniper.</w:t>
      </w:r>
    </w:p>
    <w:p w14:paraId="6BCD9191" w14:textId="77777777" w:rsidR="00506954" w:rsidRPr="00506954" w:rsidRDefault="00506954" w:rsidP="00506954">
      <w:pPr>
        <w:rPr>
          <w:rFonts w:ascii="Garamond" w:hAnsi="Garamond"/>
        </w:rPr>
      </w:pPr>
    </w:p>
    <w:p w14:paraId="48564616" w14:textId="77777777" w:rsidR="00506954" w:rsidRPr="00506954" w:rsidRDefault="00506954" w:rsidP="00506954">
      <w:pPr>
        <w:rPr>
          <w:rFonts w:ascii="Garamond" w:hAnsi="Garamond"/>
        </w:rPr>
      </w:pPr>
      <w:r w:rsidRPr="00506954">
        <w:rPr>
          <w:rFonts w:ascii="Garamond" w:hAnsi="Garamond"/>
        </w:rPr>
        <w:t xml:space="preserve">HP Vegetation: Historically, the region had mostly short and midgrass prairie vegetation; much of it is now greatly altered. Shortgrass prairie featured blue grama, buffalograss, and fringed sage, and mixed grass areas had </w:t>
      </w:r>
      <w:proofErr w:type="spellStart"/>
      <w:r w:rsidRPr="00506954">
        <w:rPr>
          <w:rFonts w:ascii="Garamond" w:hAnsi="Garamond"/>
        </w:rPr>
        <w:t>sideoats</w:t>
      </w:r>
      <w:proofErr w:type="spellEnd"/>
      <w:r w:rsidRPr="00506954">
        <w:rPr>
          <w:rFonts w:ascii="Garamond" w:hAnsi="Garamond"/>
        </w:rPr>
        <w:t xml:space="preserve"> grama, western wheatgrass, and little bluestem. </w:t>
      </w:r>
      <w:proofErr w:type="spellStart"/>
      <w:r w:rsidRPr="00506954">
        <w:rPr>
          <w:rFonts w:ascii="Garamond" w:hAnsi="Garamond"/>
        </w:rPr>
        <w:t>Sandsage</w:t>
      </w:r>
      <w:proofErr w:type="spellEnd"/>
      <w:r w:rsidRPr="00506954">
        <w:rPr>
          <w:rFonts w:ascii="Garamond" w:hAnsi="Garamond"/>
        </w:rPr>
        <w:t xml:space="preserve"> prairies had sand sagebrush, sand bluestem, prairie sandreed, little bluestem, Indian </w:t>
      </w:r>
      <w:proofErr w:type="spellStart"/>
      <w:r w:rsidRPr="00506954">
        <w:rPr>
          <w:rFonts w:ascii="Garamond" w:hAnsi="Garamond"/>
        </w:rPr>
        <w:t>ricegrass</w:t>
      </w:r>
      <w:proofErr w:type="spellEnd"/>
      <w:r w:rsidRPr="00506954">
        <w:rPr>
          <w:rFonts w:ascii="Garamond" w:hAnsi="Garamond"/>
        </w:rPr>
        <w:t xml:space="preserve">, and sand dropseed. Shinnery sands areas in the south featured Havard shin oak, </w:t>
      </w:r>
      <w:proofErr w:type="spellStart"/>
      <w:r w:rsidRPr="00506954">
        <w:rPr>
          <w:rFonts w:ascii="Garamond" w:hAnsi="Garamond"/>
        </w:rPr>
        <w:t>fourwing</w:t>
      </w:r>
      <w:proofErr w:type="spellEnd"/>
      <w:r w:rsidRPr="00506954">
        <w:rPr>
          <w:rFonts w:ascii="Garamond" w:hAnsi="Garamond"/>
        </w:rPr>
        <w:t xml:space="preserve"> saltbush, sand sagebrush, yucca, and mid- and </w:t>
      </w:r>
      <w:proofErr w:type="spellStart"/>
      <w:r w:rsidRPr="00506954">
        <w:rPr>
          <w:rFonts w:ascii="Garamond" w:hAnsi="Garamond"/>
        </w:rPr>
        <w:t>shortgrasses</w:t>
      </w:r>
      <w:proofErr w:type="spellEnd"/>
      <w:r w:rsidRPr="00506954">
        <w:rPr>
          <w:rFonts w:ascii="Garamond" w:hAnsi="Garamond"/>
        </w:rPr>
        <w:t>.</w:t>
      </w:r>
    </w:p>
    <w:p w14:paraId="30CB8EBD" w14:textId="77777777" w:rsidR="00506954" w:rsidRPr="00506954" w:rsidRDefault="00506954" w:rsidP="00506954">
      <w:pPr>
        <w:rPr>
          <w:rFonts w:ascii="Garamond" w:hAnsi="Garamond"/>
        </w:rPr>
      </w:pPr>
    </w:p>
    <w:p w14:paraId="0C2FACD9" w14:textId="77777777" w:rsidR="00506954" w:rsidRPr="00506954" w:rsidRDefault="00506954" w:rsidP="00506954">
      <w:pPr>
        <w:rPr>
          <w:rFonts w:ascii="Garamond" w:hAnsi="Garamond"/>
        </w:rPr>
      </w:pPr>
      <w:r w:rsidRPr="00506954">
        <w:rPr>
          <w:rFonts w:ascii="Garamond" w:hAnsi="Garamond"/>
        </w:rPr>
        <w:t>NGP Hydrology: Mostly ephemeral and intermittent streams are found here, with a few larger perennial rivers that cross the region from the western mountains. Many small impoundments occur, and there are some large reservoirs on the Missouri River.</w:t>
      </w:r>
    </w:p>
    <w:p w14:paraId="1C06BF8D" w14:textId="77777777" w:rsidR="00506954" w:rsidRPr="00506954" w:rsidRDefault="00506954" w:rsidP="00506954">
      <w:pPr>
        <w:rPr>
          <w:rFonts w:ascii="Garamond" w:hAnsi="Garamond"/>
        </w:rPr>
      </w:pPr>
    </w:p>
    <w:p w14:paraId="49EF38F9" w14:textId="77777777" w:rsidR="00506954" w:rsidRPr="00506954" w:rsidRDefault="00506954" w:rsidP="00506954">
      <w:pPr>
        <w:rPr>
          <w:rFonts w:ascii="Garamond" w:hAnsi="Garamond"/>
        </w:rPr>
      </w:pPr>
      <w:r w:rsidRPr="00506954">
        <w:rPr>
          <w:rFonts w:ascii="Garamond" w:hAnsi="Garamond"/>
        </w:rPr>
        <w:t>HP Hydrology: Mostly intermittent and ephemeral streams prevail here. A few larger rivers that originate in the Southern Rockies (6.2.14) cross the region, such as the Platte, Arkansas, and Cimarron. The southern portion has few to no streams. Surface water there occurs in numerous ephemeral pools or playas. These serve as recharge areas for the important Ogallala Aquifer. Water withdrawals from the aquifer usually exceed recharge, however.</w:t>
      </w:r>
    </w:p>
    <w:p w14:paraId="79697D7F" w14:textId="77777777" w:rsidR="00506954" w:rsidRPr="00506954" w:rsidRDefault="00506954" w:rsidP="00506954">
      <w:pPr>
        <w:rPr>
          <w:rFonts w:ascii="Garamond" w:hAnsi="Garamond"/>
        </w:rPr>
      </w:pPr>
    </w:p>
    <w:p w14:paraId="5F00778E" w14:textId="77777777" w:rsidR="00506954" w:rsidRPr="00506954" w:rsidRDefault="00506954" w:rsidP="00506954">
      <w:pPr>
        <w:rPr>
          <w:rFonts w:ascii="Garamond" w:hAnsi="Garamond"/>
        </w:rPr>
      </w:pPr>
      <w:r w:rsidRPr="00506954">
        <w:rPr>
          <w:rFonts w:ascii="Garamond" w:hAnsi="Garamond"/>
        </w:rPr>
        <w:t>NGP Terrain: The region is an unglaciated, rolling plain of shale and sandstone punctuated by occasional buttes. Some areas are of dissected, badland terrain and river breaks. Entisols, Mollisols, Aridisols, and Inceptisols occur. Frigid and mesic soil temperature regimes and ustic and aridic soil moisture regimes are typical.</w:t>
      </w:r>
    </w:p>
    <w:p w14:paraId="2FF77D8B" w14:textId="77777777" w:rsidR="00506954" w:rsidRPr="00506954" w:rsidRDefault="00506954" w:rsidP="00506954">
      <w:pPr>
        <w:rPr>
          <w:rFonts w:ascii="Garamond" w:hAnsi="Garamond"/>
        </w:rPr>
      </w:pPr>
    </w:p>
    <w:p w14:paraId="44981A1C" w14:textId="77777777" w:rsidR="00506954" w:rsidRPr="00506954" w:rsidRDefault="00506954" w:rsidP="00506954">
      <w:pPr>
        <w:rPr>
          <w:rFonts w:ascii="Garamond" w:hAnsi="Garamond"/>
        </w:rPr>
      </w:pPr>
      <w:r w:rsidRPr="00506954">
        <w:rPr>
          <w:rFonts w:ascii="Garamond" w:hAnsi="Garamond"/>
        </w:rPr>
        <w:t>NGP Land Use/Human Activities: The region's grassland and shrubland are used for livestock grazing, mostly of cattle and sheep. Agriculture is restricted by the erratic precipitation and limited opportunities for irrigation. Some areas grow wheat, alfalfa, and barley. A few areas are used for coal mining. Larger settlements include Billings, Lewiston, Livingston, Miles City, Dickinson, Mandan, Belle Fourche, Pierre, Rapid City, Sheridan, Gillette, and Casper.</w:t>
      </w:r>
    </w:p>
    <w:p w14:paraId="1A2E6B22" w14:textId="77777777" w:rsidR="00506954" w:rsidRPr="00506954" w:rsidRDefault="00506954" w:rsidP="00506954">
      <w:pPr>
        <w:rPr>
          <w:rFonts w:ascii="Garamond" w:hAnsi="Garamond"/>
        </w:rPr>
      </w:pPr>
      <w:r w:rsidRPr="00506954">
        <w:rPr>
          <w:rFonts w:ascii="Garamond" w:hAnsi="Garamond"/>
        </w:rPr>
        <w:t>--&gt;</w:t>
      </w:r>
    </w:p>
    <w:p w14:paraId="01D0AB5B" w14:textId="77777777" w:rsidR="00506954" w:rsidRPr="00506954" w:rsidRDefault="00506954" w:rsidP="00506954">
      <w:pPr>
        <w:rPr>
          <w:rFonts w:ascii="Garamond" w:hAnsi="Garamond"/>
        </w:rPr>
      </w:pPr>
    </w:p>
    <w:p w14:paraId="3D4A77C8" w14:textId="77777777" w:rsidR="00506954" w:rsidRPr="00506954" w:rsidRDefault="00506954" w:rsidP="00506954">
      <w:pPr>
        <w:rPr>
          <w:rFonts w:ascii="Garamond" w:hAnsi="Garamond"/>
        </w:rPr>
      </w:pPr>
    </w:p>
    <w:p w14:paraId="6CE21690" w14:textId="77777777" w:rsidR="00506954" w:rsidRPr="00506954" w:rsidRDefault="00506954" w:rsidP="00506954">
      <w:pPr>
        <w:rPr>
          <w:rFonts w:ascii="Garamond" w:hAnsi="Garamond"/>
        </w:rPr>
      </w:pPr>
    </w:p>
    <w:p w14:paraId="38887A2A" w14:textId="77777777" w:rsidR="00506954" w:rsidRPr="00506954" w:rsidRDefault="00506954" w:rsidP="00506954">
      <w:pPr>
        <w:rPr>
          <w:rFonts w:ascii="Garamond" w:hAnsi="Garamond"/>
        </w:rPr>
      </w:pPr>
    </w:p>
    <w:p w14:paraId="66C36DA7" w14:textId="77777777" w:rsidR="00506954" w:rsidRPr="00506954" w:rsidRDefault="00506954" w:rsidP="00506954">
      <w:pPr>
        <w:rPr>
          <w:rFonts w:ascii="Garamond" w:hAnsi="Garamond"/>
        </w:rPr>
      </w:pPr>
    </w:p>
    <w:p w14:paraId="72529C0C" w14:textId="77777777" w:rsidR="00506954" w:rsidRPr="00506954" w:rsidRDefault="00506954" w:rsidP="00506954">
      <w:pPr>
        <w:rPr>
          <w:rFonts w:ascii="Garamond" w:hAnsi="Garamond"/>
        </w:rPr>
      </w:pPr>
      <w:r w:rsidRPr="00506954">
        <w:rPr>
          <w:rFonts w:ascii="Garamond" w:hAnsi="Garamond"/>
        </w:rPr>
        <w:t>``</w:t>
      </w:r>
      <w:proofErr w:type="gramStart"/>
      <w:r w:rsidRPr="00506954">
        <w:rPr>
          <w:rFonts w:ascii="Garamond" w:hAnsi="Garamond"/>
        </w:rPr>
        <w:t>`{</w:t>
      </w:r>
      <w:proofErr w:type="gramEnd"/>
      <w:r w:rsidRPr="00506954">
        <w:rPr>
          <w:rFonts w:ascii="Garamond" w:hAnsi="Garamond"/>
        </w:rPr>
        <w:t>r map-of-study-area, eval=FALSE}</w:t>
      </w:r>
    </w:p>
    <w:p w14:paraId="66396647" w14:textId="77777777" w:rsidR="00506954" w:rsidRPr="00506954" w:rsidRDefault="00506954" w:rsidP="00506954">
      <w:pPr>
        <w:rPr>
          <w:rFonts w:ascii="Garamond" w:hAnsi="Garamond"/>
        </w:rPr>
      </w:pPr>
    </w:p>
    <w:p w14:paraId="43159D9D" w14:textId="77777777" w:rsidR="00506954" w:rsidRPr="00506954" w:rsidRDefault="00506954" w:rsidP="00506954">
      <w:pPr>
        <w:rPr>
          <w:rFonts w:ascii="Garamond" w:hAnsi="Garamond"/>
        </w:rPr>
      </w:pPr>
      <w:r w:rsidRPr="00506954">
        <w:rPr>
          <w:rFonts w:ascii="Garamond" w:hAnsi="Garamond"/>
        </w:rPr>
        <w:t># Make a map</w:t>
      </w:r>
    </w:p>
    <w:p w14:paraId="2F4C787D" w14:textId="77777777" w:rsidR="00506954" w:rsidRPr="00506954" w:rsidRDefault="00506954" w:rsidP="00506954">
      <w:pPr>
        <w:rPr>
          <w:rFonts w:ascii="Garamond" w:hAnsi="Garamond"/>
        </w:rPr>
      </w:pPr>
      <w:r w:rsidRPr="00506954">
        <w:rPr>
          <w:rFonts w:ascii="Garamond" w:hAnsi="Garamond"/>
        </w:rPr>
        <w:t># Here is some example code:</w:t>
      </w:r>
    </w:p>
    <w:p w14:paraId="23B70ED5" w14:textId="77777777" w:rsidR="00506954" w:rsidRPr="00506954" w:rsidRDefault="00506954" w:rsidP="00506954">
      <w:pPr>
        <w:rPr>
          <w:rFonts w:ascii="Garamond" w:hAnsi="Garamond"/>
        </w:rPr>
      </w:pPr>
      <w:r w:rsidRPr="00506954">
        <w:rPr>
          <w:rFonts w:ascii="Garamond" w:hAnsi="Garamond"/>
        </w:rPr>
        <w:t># https://www.r4wrds.com/intro/m_intro_mapmaking</w:t>
      </w:r>
    </w:p>
    <w:p w14:paraId="40C0B66E" w14:textId="77777777" w:rsidR="00506954" w:rsidRPr="00506954" w:rsidRDefault="00506954" w:rsidP="00506954">
      <w:pPr>
        <w:rPr>
          <w:rFonts w:ascii="Garamond" w:hAnsi="Garamond"/>
        </w:rPr>
      </w:pPr>
    </w:p>
    <w:p w14:paraId="3C236484" w14:textId="77777777" w:rsidR="00506954" w:rsidRPr="00506954" w:rsidRDefault="00506954" w:rsidP="00506954">
      <w:pPr>
        <w:rPr>
          <w:rFonts w:ascii="Garamond" w:hAnsi="Garamond"/>
        </w:rPr>
      </w:pPr>
      <w:r w:rsidRPr="00506954">
        <w:rPr>
          <w:rFonts w:ascii="Garamond" w:hAnsi="Garamond"/>
        </w:rPr>
        <w:lastRenderedPageBreak/>
        <w:t>```</w:t>
      </w:r>
    </w:p>
    <w:p w14:paraId="34D3EB87" w14:textId="77777777" w:rsidR="00506954" w:rsidRPr="00506954" w:rsidRDefault="00506954" w:rsidP="00506954">
      <w:pPr>
        <w:rPr>
          <w:rFonts w:ascii="Garamond" w:hAnsi="Garamond"/>
        </w:rPr>
      </w:pPr>
    </w:p>
    <w:p w14:paraId="40FF7023" w14:textId="77777777" w:rsidR="00506954" w:rsidRPr="00506954" w:rsidRDefault="00506954" w:rsidP="00506954">
      <w:pPr>
        <w:rPr>
          <w:rFonts w:ascii="Garamond" w:hAnsi="Garamond"/>
        </w:rPr>
      </w:pPr>
      <w:r w:rsidRPr="00506954">
        <w:rPr>
          <w:rFonts w:ascii="Garamond" w:hAnsi="Garamond"/>
        </w:rPr>
        <w:t># Introduction</w:t>
      </w:r>
    </w:p>
    <w:p w14:paraId="227DBD3E" w14:textId="77777777" w:rsidR="00506954" w:rsidRPr="00506954" w:rsidRDefault="00506954" w:rsidP="00506954">
      <w:pPr>
        <w:rPr>
          <w:rFonts w:ascii="Garamond" w:hAnsi="Garamond"/>
        </w:rPr>
      </w:pPr>
    </w:p>
    <w:p w14:paraId="25C5C408" w14:textId="4CD1B4C9" w:rsidR="00506954" w:rsidRPr="00506954" w:rsidRDefault="00506954" w:rsidP="00506954">
      <w:pPr>
        <w:rPr>
          <w:rFonts w:ascii="Garamond" w:hAnsi="Garamond"/>
        </w:rPr>
      </w:pPr>
      <w:r w:rsidRPr="00506954">
        <w:rPr>
          <w:rFonts w:ascii="Garamond" w:hAnsi="Garamond"/>
        </w:rPr>
        <w:t>Ecoregion membership was identified as a key predictor of hydrologic similarity in south-central South Dakota (Tinant, PhD dissertation).</w:t>
      </w:r>
    </w:p>
    <w:sectPr w:rsidR="00506954" w:rsidRPr="00506954" w:rsidSect="001A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A1E06"/>
    <w:multiLevelType w:val="hybridMultilevel"/>
    <w:tmpl w:val="F4400712"/>
    <w:lvl w:ilvl="0" w:tplc="3C9220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88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54"/>
    <w:rsid w:val="00014828"/>
    <w:rsid w:val="00047F19"/>
    <w:rsid w:val="00084D41"/>
    <w:rsid w:val="00090099"/>
    <w:rsid w:val="000B38E4"/>
    <w:rsid w:val="000C5B26"/>
    <w:rsid w:val="00123429"/>
    <w:rsid w:val="00136F59"/>
    <w:rsid w:val="0016359F"/>
    <w:rsid w:val="00184900"/>
    <w:rsid w:val="001876A8"/>
    <w:rsid w:val="001A0770"/>
    <w:rsid w:val="001A7F51"/>
    <w:rsid w:val="001E3EAF"/>
    <w:rsid w:val="002041BB"/>
    <w:rsid w:val="00232A87"/>
    <w:rsid w:val="002457D8"/>
    <w:rsid w:val="00271290"/>
    <w:rsid w:val="003246F5"/>
    <w:rsid w:val="0034597D"/>
    <w:rsid w:val="00357B44"/>
    <w:rsid w:val="003C7729"/>
    <w:rsid w:val="00440A78"/>
    <w:rsid w:val="00454D93"/>
    <w:rsid w:val="0045716A"/>
    <w:rsid w:val="00493E40"/>
    <w:rsid w:val="00496F64"/>
    <w:rsid w:val="004A0713"/>
    <w:rsid w:val="004B18DE"/>
    <w:rsid w:val="004B6829"/>
    <w:rsid w:val="004C19B2"/>
    <w:rsid w:val="004C27B5"/>
    <w:rsid w:val="004D7CFD"/>
    <w:rsid w:val="00506954"/>
    <w:rsid w:val="00525998"/>
    <w:rsid w:val="00526DA8"/>
    <w:rsid w:val="00542C32"/>
    <w:rsid w:val="00575C98"/>
    <w:rsid w:val="005B15FF"/>
    <w:rsid w:val="005B7614"/>
    <w:rsid w:val="005D0DCC"/>
    <w:rsid w:val="00607254"/>
    <w:rsid w:val="00644D58"/>
    <w:rsid w:val="00656387"/>
    <w:rsid w:val="006C3B7E"/>
    <w:rsid w:val="006C59BB"/>
    <w:rsid w:val="006D6960"/>
    <w:rsid w:val="006E4B44"/>
    <w:rsid w:val="006E5A6C"/>
    <w:rsid w:val="006F4D1E"/>
    <w:rsid w:val="00720179"/>
    <w:rsid w:val="00734312"/>
    <w:rsid w:val="00742510"/>
    <w:rsid w:val="00745B46"/>
    <w:rsid w:val="00755C61"/>
    <w:rsid w:val="0076553C"/>
    <w:rsid w:val="00792A0D"/>
    <w:rsid w:val="007B3DE5"/>
    <w:rsid w:val="00802EAC"/>
    <w:rsid w:val="00821C18"/>
    <w:rsid w:val="008279D2"/>
    <w:rsid w:val="008320F9"/>
    <w:rsid w:val="00847100"/>
    <w:rsid w:val="00856C0F"/>
    <w:rsid w:val="009011F2"/>
    <w:rsid w:val="009722AE"/>
    <w:rsid w:val="00984BCD"/>
    <w:rsid w:val="009969F7"/>
    <w:rsid w:val="009F61A6"/>
    <w:rsid w:val="00A206BE"/>
    <w:rsid w:val="00A81D09"/>
    <w:rsid w:val="00A877AE"/>
    <w:rsid w:val="00A95E71"/>
    <w:rsid w:val="00B27C61"/>
    <w:rsid w:val="00B80D93"/>
    <w:rsid w:val="00BB65CC"/>
    <w:rsid w:val="00C07921"/>
    <w:rsid w:val="00C36D5B"/>
    <w:rsid w:val="00C61B4A"/>
    <w:rsid w:val="00C771DD"/>
    <w:rsid w:val="00C777AF"/>
    <w:rsid w:val="00C85549"/>
    <w:rsid w:val="00CA20E3"/>
    <w:rsid w:val="00CD5198"/>
    <w:rsid w:val="00CE6495"/>
    <w:rsid w:val="00CF36A8"/>
    <w:rsid w:val="00DA241E"/>
    <w:rsid w:val="00DB2510"/>
    <w:rsid w:val="00DD7FAF"/>
    <w:rsid w:val="00DF2FC0"/>
    <w:rsid w:val="00DF6BE4"/>
    <w:rsid w:val="00E10CA8"/>
    <w:rsid w:val="00E52A25"/>
    <w:rsid w:val="00EB61F1"/>
    <w:rsid w:val="00ED22D5"/>
    <w:rsid w:val="00EE13CF"/>
    <w:rsid w:val="00EE6D7E"/>
    <w:rsid w:val="00EF2937"/>
    <w:rsid w:val="00F2204D"/>
    <w:rsid w:val="00F25DC2"/>
    <w:rsid w:val="00F31069"/>
    <w:rsid w:val="00F36853"/>
    <w:rsid w:val="00F42E25"/>
    <w:rsid w:val="00F550DC"/>
    <w:rsid w:val="00F72FC6"/>
    <w:rsid w:val="00F73D7A"/>
    <w:rsid w:val="00F84322"/>
    <w:rsid w:val="00FB5FD1"/>
    <w:rsid w:val="00FE49D1"/>
    <w:rsid w:val="00FE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A7AAF"/>
  <w14:defaultImageDpi w14:val="32767"/>
  <w15:chartTrackingRefBased/>
  <w15:docId w15:val="{F31D45F0-D88F-B343-86AA-006F2A80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21C18"/>
  </w:style>
  <w:style w:type="paragraph" w:styleId="Heading1">
    <w:name w:val="heading 1"/>
    <w:basedOn w:val="Normal"/>
    <w:next w:val="Normal"/>
    <w:link w:val="Heading1Char"/>
    <w:uiPriority w:val="9"/>
    <w:qFormat/>
    <w:rsid w:val="00506954"/>
    <w:pPr>
      <w:keepNext/>
      <w:keepLines/>
      <w:spacing w:before="360" w:after="80"/>
      <w:outlineLvl w:val="0"/>
    </w:pPr>
    <w:rPr>
      <w:rFonts w:ascii="Garamond" w:eastAsiaTheme="majorEastAsia" w:hAnsi="Garamond"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506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9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9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9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9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954"/>
    <w:rPr>
      <w:rFonts w:ascii="Garamond" w:eastAsiaTheme="majorEastAsia" w:hAnsi="Garamond"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506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954"/>
    <w:rPr>
      <w:rFonts w:eastAsiaTheme="majorEastAsia" w:cstheme="majorBidi"/>
      <w:color w:val="272727" w:themeColor="text1" w:themeTint="D8"/>
    </w:rPr>
  </w:style>
  <w:style w:type="paragraph" w:styleId="Title">
    <w:name w:val="Title"/>
    <w:basedOn w:val="Normal"/>
    <w:next w:val="Normal"/>
    <w:link w:val="TitleChar"/>
    <w:uiPriority w:val="10"/>
    <w:qFormat/>
    <w:rsid w:val="005069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9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9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6954"/>
    <w:rPr>
      <w:i/>
      <w:iCs/>
      <w:color w:val="404040" w:themeColor="text1" w:themeTint="BF"/>
    </w:rPr>
  </w:style>
  <w:style w:type="paragraph" w:styleId="ListParagraph">
    <w:name w:val="List Paragraph"/>
    <w:basedOn w:val="Normal"/>
    <w:uiPriority w:val="34"/>
    <w:qFormat/>
    <w:rsid w:val="00506954"/>
    <w:pPr>
      <w:ind w:left="720"/>
      <w:contextualSpacing/>
    </w:pPr>
  </w:style>
  <w:style w:type="character" w:styleId="IntenseEmphasis">
    <w:name w:val="Intense Emphasis"/>
    <w:basedOn w:val="DefaultParagraphFont"/>
    <w:uiPriority w:val="21"/>
    <w:qFormat/>
    <w:rsid w:val="00506954"/>
    <w:rPr>
      <w:i/>
      <w:iCs/>
      <w:color w:val="0F4761" w:themeColor="accent1" w:themeShade="BF"/>
    </w:rPr>
  </w:style>
  <w:style w:type="paragraph" w:styleId="IntenseQuote">
    <w:name w:val="Intense Quote"/>
    <w:basedOn w:val="Normal"/>
    <w:next w:val="Normal"/>
    <w:link w:val="IntenseQuoteChar"/>
    <w:uiPriority w:val="30"/>
    <w:qFormat/>
    <w:rsid w:val="00506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954"/>
    <w:rPr>
      <w:i/>
      <w:iCs/>
      <w:color w:val="0F4761" w:themeColor="accent1" w:themeShade="BF"/>
    </w:rPr>
  </w:style>
  <w:style w:type="character" w:styleId="IntenseReference">
    <w:name w:val="Intense Reference"/>
    <w:basedOn w:val="DefaultParagraphFont"/>
    <w:uiPriority w:val="32"/>
    <w:qFormat/>
    <w:rsid w:val="00506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6675">
      <w:bodyDiv w:val="1"/>
      <w:marLeft w:val="0"/>
      <w:marRight w:val="0"/>
      <w:marTop w:val="0"/>
      <w:marBottom w:val="0"/>
      <w:divBdr>
        <w:top w:val="none" w:sz="0" w:space="0" w:color="auto"/>
        <w:left w:val="none" w:sz="0" w:space="0" w:color="auto"/>
        <w:bottom w:val="none" w:sz="0" w:space="0" w:color="auto"/>
        <w:right w:val="none" w:sz="0" w:space="0" w:color="auto"/>
      </w:divBdr>
    </w:div>
    <w:div w:id="8783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Tinant, Charles J. - SDSMT Student</dc:creator>
  <cp:keywords/>
  <dc:description/>
  <cp:lastModifiedBy>Tinant, Charles J. - SDSMT Student</cp:lastModifiedBy>
  <cp:revision>7</cp:revision>
  <dcterms:created xsi:type="dcterms:W3CDTF">2024-09-11T19:07:00Z</dcterms:created>
  <dcterms:modified xsi:type="dcterms:W3CDTF">2024-09-13T17:10:00Z</dcterms:modified>
</cp:coreProperties>
</file>