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к темам: «Обсуждение условных и циклических конструкций, закрепление знаний о строках и массивах»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вспомнить навыки применения условных и циклических конструкций, массивов и ГПСЧ.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Создайте массив типа «int» из 100 элементов и заполните его с помощью ГПСЧ. Необходимо посчитать количество чётных и нечётных элементов. Если чётных чисел больше, то в консоль нужно вывести только четные элементы массива, иначе нечётные. Ноль будем считать чётным числом. Возможна ситуация, когда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количество чётных и нечётных одинаково, в этом случае нужно вывести в консоль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весь массив.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программа не работает либо есть значительные отклонения от задания;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программа работает, в решении есть незначительные отклонения от задания;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решение полностью соответствует заданию.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