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3600"/>
        <w:tblLook w:firstColumn="1" w:firstRow="1" w:lastColumn="0" w:lastRow="0" w:noHBand="0" w:noVBand="1" w:val="04A0"/>
        <w:tblLayout w:type="fixed"/>
      </w:tblPr>
      <w:tblGrid>
        <w:gridCol w:w="10488"/>
      </w:tblGrid>
      <w:tr>
        <w:tc>
          <w:tcPr>
            <w:tcW w:type="dxa" w:w="10488"/>
            <w:shd w:fill="E8F6F3"/>
            <w:tcBorders>
              <w:top w:val="single" w:sz="8" w:space="0" w:color="B9DDD7"/>
              <w:left w:val="single" w:sz="8" w:space="0" w:color="B9DDD7"/>
              <w:bottom w:val="single" w:sz="8" w:space="0" w:color="B9DDD7"/>
              <w:right w:val="single" w:sz="8" w:space="0" w:color="B9DDD7"/>
            </w:tcBorders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keepLines/>
              <w:jc w:val="center"/>
            </w:pPr>
            <w:r>
              <w:rPr>
                <w:rFonts w:ascii="Aptos" w:hAnsi="Aptos"/>
                <w:b/>
                <w:i w:val="0"/>
                <w:color w:val="10746D"/>
                <w:sz w:val="17"/>
              </w:rPr>
              <w:t>ONE-PAGER FÜR TEILNEHMER</w:t>
            </w:r>
          </w:p>
        </w:tc>
      </w:tr>
    </w:tbl>
    <w:p>
      <w:pPr>
        <w:spacing w:before="0" w:after="0" w:line="259" w:lineRule="auto"/>
      </w:pPr>
      <w:r>
        <w:rPr>
          <w:rFonts w:ascii="Aptos" w:hAnsi="Aptos"/>
          <w:b/>
          <w:i w:val="0"/>
          <w:color w:val="18578B"/>
          <w:sz w:val="54"/>
        </w:rPr>
        <w:t>MindGraph Notes</w:t>
      </w:r>
    </w:p>
    <w:p>
      <w:pPr>
        <w:spacing w:before="0" w:after="120" w:line="259" w:lineRule="auto"/>
      </w:pPr>
      <w:r>
        <w:rPr>
          <w:rFonts w:ascii="Aptos" w:hAnsi="Aptos"/>
          <w:b/>
          <w:i w:val="0"/>
          <w:color w:val="C46537"/>
          <w:sz w:val="34"/>
        </w:rPr>
        <w:t>Zeigt dir, was heute wichtig ist.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1C2024"/>
          <w:sz w:val="23"/>
        </w:rPr>
        <w:t>Ein lokaler Arbeitsraum, der Notizen, Aufgaben, E-Mails und Dokumente verbindet - und morgens sichtbar macht, worauf es wirklich ankommt.</w:t>
      </w:r>
    </w:p>
    <w:tbl>
      <w:tblPr>
        <w:tblW w:type="dxa" w:w="10490"/>
        <w:tblLook w:firstColumn="1" w:firstRow="1" w:lastColumn="0" w:lastRow="0" w:noHBand="0" w:noVBand="1" w:val="04A0"/>
        <w:tblLayout w:type="fixed"/>
      </w:tblPr>
      <w:tblGrid>
        <w:gridCol w:w="6100"/>
        <w:gridCol w:w="4390"/>
      </w:tblGrid>
      <w:tr>
        <w:tc>
          <w:tcPr>
            <w:tcW w:type="dxa" w:w="6100"/>
            <w:shd w:fill="EAF3FA"/>
            <w:tcBorders>
              <w:top w:val="single" w:sz="8" w:space="0" w:color="C8DAEA"/>
              <w:left w:val="single" w:sz="8" w:space="0" w:color="C8DAEA"/>
              <w:bottom w:val="single" w:sz="8" w:space="0" w:color="C8DAEA"/>
              <w:right w:val="single" w:sz="8" w:space="0" w:color="C8DAEA"/>
            </w:tcBorders>
            <w:tcMar>
              <w:top w:w="155" w:type="dxa"/>
              <w:start w:w="170" w:type="dxa"/>
              <w:bottom w:w="145" w:type="dxa"/>
              <w:end w:w="170" w:type="dxa"/>
            </w:tcMar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18578B"/>
                <w:sz w:val="17"/>
              </w:rPr>
              <w:t>Das Problem im Büro</w:t>
            </w:r>
          </w:p>
          <w:p>
            <w:pPr>
              <w:keepLines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1C2024"/>
                <w:sz w:val="28"/>
              </w:rPr>
              <w:t>Information ist da - aber nicht sortiert.</w:t>
            </w:r>
          </w:p>
          <w:p>
            <w:pPr>
              <w:keepLines/>
              <w:spacing w:before="0" w:after="40" w:line="259" w:lineRule="auto"/>
            </w:pPr>
            <w:r>
              <w:rPr>
                <w:rFonts w:ascii="Aptos" w:hAnsi="Aptos"/>
                <w:b w:val="0"/>
                <w:i w:val="0"/>
                <w:color w:val="1C2024"/>
                <w:sz w:val="19"/>
              </w:rPr>
              <w:t>Mails, Termine, Projektakten, PDFs und Aufgaben liegen verstreut. Man verbringt Zeit mit Suchen, Nachhalten und Erinnern statt mit Entscheiden.</w:t>
            </w:r>
          </w:p>
        </w:tc>
        <w:tc>
          <w:tcPr>
            <w:tcW w:type="dxa" w:w="4390"/>
            <w:shd w:fill="FFF0E7"/>
            <w:tcBorders>
              <w:top w:val="single" w:sz="8" w:space="0" w:color="E7C8B6"/>
              <w:left w:val="single" w:sz="8" w:space="0" w:color="E7C8B6"/>
              <w:bottom w:val="single" w:sz="8" w:space="0" w:color="E7C8B6"/>
              <w:right w:val="single" w:sz="8" w:space="0" w:color="E7C8B6"/>
            </w:tcBorders>
            <w:tcMar>
              <w:top w:w="155" w:type="dxa"/>
              <w:start w:w="170" w:type="dxa"/>
              <w:bottom w:w="145" w:type="dxa"/>
              <w:end w:w="170" w:type="dxa"/>
            </w:tcMar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C46537"/>
                <w:sz w:val="17"/>
              </w:rPr>
              <w:t>Der Nutzen</w:t>
            </w:r>
          </w:p>
          <w:p>
            <w:pPr>
              <w:keepLines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1C2024"/>
                <w:sz w:val="28"/>
              </w:rPr>
              <w:t>Ein Tagesblick statt fünf Suchfenster.</w:t>
            </w:r>
          </w:p>
          <w:p>
            <w:pPr>
              <w:keepLines/>
              <w:spacing w:before="0" w:after="40" w:line="259" w:lineRule="auto"/>
            </w:pPr>
            <w:r>
              <w:rPr>
                <w:rFonts w:ascii="Aptos" w:hAnsi="Aptos"/>
                <w:b w:val="0"/>
                <w:i w:val="0"/>
                <w:color w:val="1C2024"/>
                <w:sz w:val="19"/>
              </w:rPr>
              <w:t>MindGraph Notes bündelt relevante Hinweise, Aufgaben und offene Antworten - lokal auf dem eigenen Rechner.</w:t>
            </w:r>
          </w:p>
        </w:tc>
      </w:tr>
    </w:tbl>
    <w:p>
      <w:pPr>
        <w:spacing w:before="0" w:after="20" w:line="259" w:lineRule="auto"/>
      </w:pPr>
    </w:p>
    <w:tbl>
      <w:tblPr>
        <w:tblW w:type="dxa" w:w="10490"/>
        <w:tblLook w:firstColumn="1" w:firstRow="1" w:lastColumn="0" w:lastRow="0" w:noHBand="0" w:noVBand="1" w:val="04A0"/>
        <w:tblLayout w:type="fixed"/>
      </w:tblPr>
      <w:tblGrid>
        <w:gridCol w:w="3497"/>
        <w:gridCol w:w="3497"/>
        <w:gridCol w:w="3496"/>
      </w:tblGrid>
      <w:tr>
        <w:tc>
          <w:tcPr>
            <w:tcW w:type="dxa" w:w="3497"/>
            <w:shd w:fill="EAF3FA"/>
            <w:tcBorders>
              <w:top w:val="single" w:sz="8" w:space="0" w:color="D7DEE6"/>
              <w:left w:val="single" w:sz="8" w:space="0" w:color="D7DEE6"/>
              <w:bottom w:val="single" w:sz="8" w:space="0" w:color="D7DEE6"/>
              <w:right w:val="single" w:sz="8" w:space="0" w:color="D7DEE6"/>
            </w:tcBorders>
            <w:tcMar>
              <w:top w:w="130" w:type="dxa"/>
              <w:start w:w="150" w:type="dxa"/>
              <w:bottom w:w="120" w:type="dxa"/>
              <w:end w:w="150" w:type="dxa"/>
            </w:tcMar>
            <w:vAlign w:val="top"/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8578B"/>
                <w:sz w:val="17"/>
              </w:rPr>
              <w:t>1</w:t>
            </w:r>
          </w:p>
          <w:p>
            <w:pPr>
              <w:keepLines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1C2024"/>
                <w:sz w:val="24"/>
              </w:rPr>
              <w:t>Morning Briefing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Tagesüberblick aus Notizen, Aufgaben und E-Mails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Relevanz statt chronologischer Flut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Offene Antworten und Fristen im Blick</w:t>
            </w:r>
          </w:p>
        </w:tc>
        <w:tc>
          <w:tcPr>
            <w:tcW w:type="dxa" w:w="3497"/>
            <w:shd w:fill="E8F6F3"/>
            <w:tcBorders>
              <w:top w:val="single" w:sz="8" w:space="0" w:color="D7DEE6"/>
              <w:left w:val="single" w:sz="8" w:space="0" w:color="D7DEE6"/>
              <w:bottom w:val="single" w:sz="8" w:space="0" w:color="D7DEE6"/>
              <w:right w:val="single" w:sz="8" w:space="0" w:color="D7DEE6"/>
            </w:tcBorders>
            <w:tcMar>
              <w:top w:w="130" w:type="dxa"/>
              <w:start w:w="150" w:type="dxa"/>
              <w:bottom w:w="120" w:type="dxa"/>
              <w:end w:w="150" w:type="dxa"/>
            </w:tcMar>
            <w:vAlign w:val="top"/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10746D"/>
                <w:sz w:val="17"/>
              </w:rPr>
              <w:t>2</w:t>
            </w:r>
          </w:p>
          <w:p>
            <w:pPr>
              <w:keepLines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1C2024"/>
                <w:sz w:val="24"/>
              </w:rPr>
              <w:t>Arbeitswissen bleibt verbunden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Markdown-Notizen mit Wiki-Links und Backlinks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Projektakten, Meetings und Dokumente an einem Ort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Canvas für Zusammenhänge, wenn es komplex wird</w:t>
            </w:r>
          </w:p>
        </w:tc>
        <w:tc>
          <w:tcPr>
            <w:tcW w:type="dxa" w:w="3496"/>
            <w:shd w:fill="FFF0E7"/>
            <w:tcBorders>
              <w:top w:val="single" w:sz="8" w:space="0" w:color="D7DEE6"/>
              <w:left w:val="single" w:sz="8" w:space="0" w:color="D7DEE6"/>
              <w:bottom w:val="single" w:sz="8" w:space="0" w:color="D7DEE6"/>
              <w:right w:val="single" w:sz="8" w:space="0" w:color="D7DEE6"/>
            </w:tcBorders>
            <w:tcMar>
              <w:top w:w="130" w:type="dxa"/>
              <w:start w:w="150" w:type="dxa"/>
              <w:bottom w:w="120" w:type="dxa"/>
              <w:end w:w="150" w:type="dxa"/>
            </w:tcMar>
            <w:vAlign w:val="top"/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60" w:line="240" w:lineRule="auto"/>
            </w:pPr>
            <w:r>
              <w:rPr>
                <w:rFonts w:ascii="Aptos" w:hAnsi="Aptos"/>
                <w:b/>
                <w:i w:val="0"/>
                <w:color w:val="C46537"/>
                <w:sz w:val="17"/>
              </w:rPr>
              <w:t>3</w:t>
            </w:r>
          </w:p>
          <w:p>
            <w:pPr>
              <w:keepLines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1C2024"/>
                <w:sz w:val="24"/>
              </w:rPr>
              <w:t>KI, die vertraulich bleibt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Lokale Modelle über Ollama oder LM Studio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Keine Telemetrie, kein Cloud-Zwang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E2E-verschlüsselter Sync bei Bedarf</w:t>
            </w:r>
          </w:p>
        </w:tc>
      </w:tr>
    </w:tbl>
    <w:p>
      <w:pPr>
        <w:spacing w:before="0" w:after="0" w:line="259" w:lineRule="auto"/>
      </w:pPr>
    </w:p>
    <w:tbl>
      <w:tblPr>
        <w:tblW w:type="dxa" w:w="10490"/>
        <w:tblLook w:firstColumn="1" w:firstRow="1" w:lastColumn="0" w:lastRow="0" w:noHBand="0" w:noVBand="1" w:val="04A0"/>
        <w:tblLayout w:type="fixed"/>
      </w:tblPr>
      <w:tblGrid>
        <w:gridCol w:w="6000"/>
        <w:gridCol w:w="4490"/>
      </w:tblGrid>
      <w:tr>
        <w:tc>
          <w:tcPr>
            <w:tcW w:type="dxa" w:w="6000"/>
            <w:shd w:fill="FFFFFF"/>
            <w:tcBorders>
              <w:top w:val="single" w:sz="8" w:space="0" w:color="D7DEE6"/>
              <w:left w:val="single" w:sz="8" w:space="0" w:color="D7DEE6"/>
              <w:bottom w:val="single" w:sz="8" w:space="0" w:color="D7DEE6"/>
              <w:right w:val="single" w:sz="8" w:space="0" w:color="D7DEE6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18578B"/>
                <w:sz w:val="17"/>
              </w:rPr>
              <w:t>Typischer Ablauf</w:t>
            </w:r>
          </w:p>
          <w:p>
            <w:pPr>
              <w:keepLines/>
              <w:spacing w:after="60"/>
            </w:pPr>
            <w:r>
              <w:rPr>
                <w:rFonts w:ascii="Aptos" w:hAnsi="Aptos"/>
                <w:b/>
                <w:i w:val="0"/>
                <w:color w:val="C46537"/>
                <w:sz w:val="21"/>
              </w:rPr>
              <w:t xml:space="preserve">1. </w:t>
            </w:r>
            <w:r>
              <w:rPr>
                <w:rFonts w:ascii="Aptos" w:hAnsi="Aptos"/>
                <w:b w:val="0"/>
                <w:i w:val="0"/>
                <w:color w:val="1C2024"/>
                <w:sz w:val="19"/>
              </w:rPr>
              <w:t>E-Mail oder Dokument landet im Arbeitsraum.</w:t>
            </w:r>
          </w:p>
          <w:p>
            <w:pPr>
              <w:keepLines/>
              <w:spacing w:after="60"/>
            </w:pPr>
            <w:r>
              <w:rPr>
                <w:rFonts w:ascii="Aptos" w:hAnsi="Aptos"/>
                <w:b/>
                <w:i w:val="0"/>
                <w:color w:val="C46537"/>
                <w:sz w:val="21"/>
              </w:rPr>
              <w:t xml:space="preserve">2. </w:t>
            </w:r>
            <w:r>
              <w:rPr>
                <w:rFonts w:ascii="Aptos" w:hAnsi="Aptos"/>
                <w:b w:val="0"/>
                <w:i w:val="0"/>
                <w:color w:val="1C2024"/>
                <w:sz w:val="19"/>
              </w:rPr>
              <w:t>MindGraph Notes erkennt Aufgaben, Termine und Kontext.</w:t>
            </w:r>
          </w:p>
          <w:p>
            <w:pPr>
              <w:keepLines/>
              <w:spacing w:after="60"/>
            </w:pPr>
            <w:r>
              <w:rPr>
                <w:rFonts w:ascii="Aptos" w:hAnsi="Aptos"/>
                <w:b/>
                <w:i w:val="0"/>
                <w:color w:val="C46537"/>
                <w:sz w:val="21"/>
              </w:rPr>
              <w:t xml:space="preserve">3. </w:t>
            </w:r>
            <w:r>
              <w:rPr>
                <w:rFonts w:ascii="Aptos" w:hAnsi="Aptos"/>
                <w:b w:val="0"/>
                <w:i w:val="0"/>
                <w:color w:val="1C2024"/>
                <w:sz w:val="19"/>
              </w:rPr>
              <w:t>Der Tagesblick zeigt, was wirklich nach Aufmerksamkeit verlangt.</w:t>
            </w:r>
          </w:p>
        </w:tc>
        <w:tc>
          <w:tcPr>
            <w:tcW w:type="dxa" w:w="4490"/>
            <w:shd w:fill="FFF7DA"/>
            <w:tcBorders>
              <w:top w:val="single" w:sz="8" w:space="0" w:color="E5D18A"/>
              <w:left w:val="single" w:sz="8" w:space="0" w:color="E5D18A"/>
              <w:bottom w:val="single" w:sz="8" w:space="0" w:color="E5D18A"/>
              <w:right w:val="single" w:sz="8" w:space="0" w:color="E5D18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976F1C"/>
                <w:sz w:val="17"/>
              </w:rPr>
              <w:t>Gesucht: 10 Test-User aus Mittelhessen</w:t>
            </w:r>
          </w:p>
          <w:p>
            <w:pPr>
              <w:keepLines/>
              <w:spacing w:before="0" w:after="60" w:line="259" w:lineRule="auto"/>
            </w:pPr>
            <w:r>
              <w:rPr>
                <w:rFonts w:ascii="Aptos" w:hAnsi="Aptos"/>
                <w:b/>
                <w:i w:val="0"/>
                <w:color w:val="1C2024"/>
                <w:sz w:val="22"/>
              </w:rPr>
              <w:t>Passt besonders, wenn Sie ...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viele Mails, Termine und Projektinfos koordinieren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sensibles Wissen lieber lokal behalten</w:t>
            </w:r>
          </w:p>
          <w:p>
            <w:pPr>
              <w:keepLines/>
              <w:spacing w:after="60" w:line="252" w:lineRule="auto"/>
              <w:ind w:left="142" w:hanging="142"/>
            </w:pPr>
            <w:r>
              <w:rPr>
                <w:rFonts w:ascii="Aptos" w:hAnsi="Aptos"/>
                <w:b/>
                <w:i w:val="0"/>
                <w:color w:val="C46537"/>
                <w:sz w:val="18"/>
              </w:rPr>
              <w:t xml:space="preserve">• </w:t>
            </w:r>
            <w:r>
              <w:rPr>
                <w:rFonts w:ascii="Aptos" w:hAnsi="Aptos"/>
                <w:b w:val="0"/>
                <w:i w:val="0"/>
                <w:color w:val="1C2024"/>
                <w:sz w:val="18"/>
              </w:rPr>
              <w:t>KI praktisch testen wollen, ohne gleich die Organisation umzubauen</w:t>
            </w:r>
          </w:p>
        </w:tc>
      </w:tr>
    </w:tbl>
    <w:tbl>
      <w:tblPr>
        <w:tblW w:type="dxa" w:w="10490"/>
        <w:tblLook w:firstColumn="1" w:firstRow="1" w:lastColumn="0" w:lastRow="0" w:noHBand="0" w:noVBand="1" w:val="04A0"/>
        <w:tblLayout w:type="fixed"/>
      </w:tblPr>
      <w:tblGrid>
        <w:gridCol w:w="3300"/>
        <w:gridCol w:w="4190"/>
        <w:gridCol w:w="3000"/>
      </w:tblGrid>
      <w:tr>
        <w:tc>
          <w:tcPr>
            <w:tcW w:type="dxa" w:w="3300"/>
            <w:shd w:fill="F6F8FA"/>
            <w:tcBorders>
              <w:top w:val="single" w:sz="8" w:space="0" w:color="D7DEE6"/>
              <w:left w:val="single" w:sz="8" w:space="0" w:color="D7DEE6"/>
              <w:bottom w:val="single" w:sz="8" w:space="0" w:color="D7DEE6"/>
              <w:right w:val="single" w:sz="8" w:space="0" w:color="D7DEE6"/>
            </w:tcBorders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2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5B636D"/>
                <w:sz w:val="16"/>
              </w:rPr>
              <w:t>Website</w:t>
            </w:r>
          </w:p>
          <w:p>
            <w:pPr>
              <w:keepLines/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8578B"/>
                <w:sz w:val="18"/>
              </w:rPr>
              <w:t>mindgraph-notes.de</w:t>
            </w:r>
          </w:p>
        </w:tc>
        <w:tc>
          <w:tcPr>
            <w:tcW w:type="dxa" w:w="4190"/>
            <w:shd w:fill="F6F8FA"/>
            <w:tcBorders>
              <w:top w:val="single" w:sz="8" w:space="0" w:color="D7DEE6"/>
              <w:left w:val="single" w:sz="8" w:space="0" w:color="D7DEE6"/>
              <w:bottom w:val="single" w:sz="8" w:space="0" w:color="D7DEE6"/>
              <w:right w:val="single" w:sz="8" w:space="0" w:color="D7DEE6"/>
            </w:tcBorders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2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5B636D"/>
                <w:sz w:val="16"/>
              </w:rPr>
              <w:t>Code</w:t>
            </w:r>
          </w:p>
          <w:p>
            <w:pPr>
              <w:keepLines/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8578B"/>
                <w:sz w:val="18"/>
              </w:rPr>
              <w:t>github.com/bydb/mindgraph-notes</w:t>
            </w:r>
          </w:p>
        </w:tc>
        <w:tc>
          <w:tcPr>
            <w:tcW w:type="dxa" w:w="3000"/>
            <w:shd w:fill="F6F8FA"/>
            <w:tcBorders>
              <w:top w:val="single" w:sz="8" w:space="0" w:color="D7DEE6"/>
              <w:left w:val="single" w:sz="8" w:space="0" w:color="D7DEE6"/>
              <w:bottom w:val="single" w:sz="8" w:space="0" w:color="D7DEE6"/>
              <w:right w:val="single" w:sz="8" w:space="0" w:color="D7DEE6"/>
            </w:tcBorders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keepLines/>
              <w:spacing w:after="0"/>
            </w:pPr>
            <w:r/>
          </w:p>
          <w:p>
            <w:pPr>
              <w:keepLines/>
              <w:spacing w:before="0" w:after="2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5B636D"/>
                <w:sz w:val="16"/>
              </w:rPr>
              <w:t>Kontakt</w:t>
            </w:r>
          </w:p>
          <w:p>
            <w:pPr>
              <w:keepLines/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i w:val="0"/>
                <w:color w:val="18578B"/>
                <w:sz w:val="18"/>
              </w:rPr>
              <w:t>Jochen Leeder | bydb.io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95" w:right="709" w:bottom="595" w:left="70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36D"/>
        <w:sz w:val="17"/>
      </w:rPr>
      <w:t>Download: mindgraph-notes.de  |  Open Source  |  Lokale KI ohne Cloud-Zwang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B636D"/>
        <w:sz w:val="17"/>
      </w:rPr>
      <w:t>MindGraph Notes | Pitchtag Mittelhessen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0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