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905A9C">
      <w:pPr>
        <w:pStyle w:val="31"/>
        <w:keepNext/>
        <w:keepLines w:val="0"/>
        <w:widowControl/>
        <w:wordWrap/>
        <w:spacing w:before="0" w:after="24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36"/>
        </w:rPr>
        <w:t>农业自选择模型复现与结果讲解</w:t>
      </w:r>
    </w:p>
    <w:p w14:paraId="58A57AF8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/>
          <w:color w:val="000000"/>
          <w:sz w:val="24"/>
        </w:rPr>
        <w:t>摘要：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工人的部门自选择能够放大农业生产率的跨国差异。固定作者代码中的参数后，基准模型得到农业差距29.23倍、非农业差距13.45倍，二者之比为2.17。加入资本和土地后，这一比值上升到3.59，选择机制仍然发挥作用。</w:t>
      </w:r>
    </w:p>
    <w:p w14:paraId="61D273E6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1.</w:t>
      </w:r>
      <w:r>
        <w:rPr>
          <w:rFonts w:ascii="黑体" w:hAnsi="黑体" w:eastAsia="黑体" w:cs="黑体"/>
          <w:b/>
          <w:color w:val="000000"/>
          <w:sz w:val="32"/>
        </w:rPr>
        <w:t>研究背景与复现目标</w:t>
      </w:r>
    </w:p>
    <w:p w14:paraId="4AFAF23E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Caselli（2005）的跨国核算（论文表1）显示：在收入分布第90与第10百分位的国家之间，整体劳均GDP相差22倍，其中非农业生产率仅相差4倍，而农业生产率相差45倍，农业与非农业之比高达10.7。与此对应，第90百分位国家只有约3%的劳动者从事农业，第10百分位国家则高达约78%。为什么农业的跨国生产率差距比非农业大一个数量级？仅靠各国技术水平差异的标准增长框架无法回答这一问题。</w:t>
      </w:r>
    </w:p>
    <w:p w14:paraId="693D4CBC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论文的解释是工人的部门自选择。每个工人在农业与非农业上的生产能力不同且不完全相关（Roy（1951）框架），工人选择报酬较高的部门；同时偏好中存在生存性食品需求，穷国无论多穷都必须把大量劳动留在农业。于是穷国农业被迫吸纳大量农业能力并不突出的工人，而富国只有农业能力最强的人继续务农：同一总体效率差距在农业被放大、在非农业被压缩。定量上（论文表2），20.1倍的总体效率差距在校准模型中转化为农业32倍、非农业14倍，即农业差距被放大约1.6倍（32/20.1）、非农业被压缩至约0.7倍（14/20.1），农业/非农差距比为2.3，与数据的10.7方向一致，解释了其中相当一部分。</w:t>
      </w:r>
    </w:p>
    <w:p w14:paraId="60B3E1D6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次课程复现使用论文作者随文发布的代码包（2012年8月版），完整执行三个程序：一是CPS工资统计，用美国1996—2010年当前人口调查（CPS）构造部门工资矩与相邻年匹配样本；二是模型复现，在固定参数下求解16组情景的一般均衡并计算部门生产率差距；三是跨国图形，将模型预测与跨国数据叠加绘图，并对图4做回归。全部程序在StataMP17（64位）下运行；蒙特卡洛部分每组情景抽取100万名工人、固定随机种子32878，相同环境下可完全重复。</w:t>
      </w:r>
    </w:p>
    <w:p w14:paraId="66023E6A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2.</w:t>
      </w:r>
      <w:r>
        <w:rPr>
          <w:rFonts w:ascii="黑体" w:hAnsi="黑体" w:eastAsia="黑体" w:cs="黑体"/>
          <w:b/>
          <w:color w:val="000000"/>
          <w:sz w:val="32"/>
        </w:rPr>
        <w:t>模型与参数</w:t>
      </w:r>
    </w:p>
    <w:p w14:paraId="28FFBEDC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模型把工人分为农业和非农业两个部门。每个人在两部门的生产能力不同，并选择收入较高的部门。农业相对价格越高，选择农业越有吸引力；当非农业能力与农业能力之比不低于农业相对价格时，工人选择非农业。生存性食品需求使低收入经济体需要更多农业劳动。</w:t>
      </w:r>
    </w:p>
    <w:p w14:paraId="4D567ED2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计算采用代码包2012年8月版的固定参数：非农业、农业的Fréchet形状参数倒数分别为0.3707、0.1899，Kendall秩相关参数为0.3451。秩相关衡量两种能力排序的一致程度；代码先将其转换为Frank联合分布参数。农业长期支出份额φ为0.0036，最低食品需求参数为2.43；美国、富国、穷国的效率A分别为100、100/1.26、100/23.85。每个情景使用100万个工人和固定随机种子32878。GDP按美国均衡价格计算，以免将各国价格变化混入实际产出比较。不同软件的随机数实现有差异，数值存在抽样波动；相同Stata程序与种子可重复得到本套结果。</w:t>
      </w:r>
    </w:p>
    <w:p w14:paraId="310C15F4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参数的来历如下：论文用CPS2010年截面的三个矩——剔除暂时性成分后的两部门对数工资标准差（非农业0.46、农业0.33，暂时性方差按Guvenen（2009）的估计0.14剔除）与农业/非农平均工资比0.69——联合校准出θa=5.5、θn=2.8与相关性参数ρ=2.2（对应Spearman秩相关0.24）。本复现固定代码包参数、不重新校准，并以1996—2010年相邻年匹配直接估计工资持久成分标准差（非农业0.4734、农业0.3752）与平均工资比0.7014，与论文目标矩基本一致。均衡求解采用二分法，程序对农业相对价格至多迭代48轮，直至产品市场出清残差不超过0.0002。</w:t>
      </w:r>
    </w:p>
    <w:p w14:paraId="25C7CD2D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3.</w:t>
      </w:r>
      <w:r>
        <w:rPr>
          <w:rFonts w:ascii="黑体" w:hAnsi="黑体" w:eastAsia="黑体" w:cs="黑体"/>
          <w:b/>
          <w:color w:val="000000"/>
          <w:sz w:val="32"/>
        </w:rPr>
        <w:t>基准结果及其含义</w:t>
      </w:r>
    </w:p>
    <w:p w14:paraId="5997EF3C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表1基准模型的生产率差距</w:t>
      </w:r>
    </w:p>
    <w:tbl>
      <w:tblPr>
        <w:tblStyle w:val="32"/>
        <w:tblW w:w="9026" w:type="dxa"/>
        <w:jc w:val="center"/>
        <w:tblBorders>
          <w:top w:val="single" w:color="000000" w:sz="12" w:space="0"/>
          <w:left w:val="none" w:color="000000" w:sz="8" w:space="0"/>
          <w:bottom w:val="single" w:color="000000" w:sz="12" w:space="0"/>
          <w:right w:val="none" w:color="000000" w:sz="8" w:space="0"/>
          <w:insideH w:val="none" w:color="000000" w:sz="8" w:space="0"/>
          <w:insideV w:val="none" w:color="000000" w:sz="8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05"/>
        <w:gridCol w:w="1805"/>
        <w:gridCol w:w="1805"/>
        <w:gridCol w:w="1805"/>
        <w:gridCol w:w="1806"/>
      </w:tblGrid>
      <w:tr w14:paraId="1DB622AE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  <w:jc w:val="center"/>
        </w:trPr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0FFA62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比较情景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6C0AE8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农业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D15C9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GDP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E545A9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非农业</w:t>
            </w:r>
          </w:p>
        </w:tc>
        <w:tc>
          <w:tcPr>
            <w:tcW w:w="18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0F457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农业/非农</w:t>
            </w:r>
          </w:p>
        </w:tc>
      </w:tr>
      <w:tr w14:paraId="6236357D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6779CC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富国与穷国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B64A4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29.23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8EC91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22.18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F9D4E7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13.45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19C154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2.17</w:t>
            </w:r>
          </w:p>
        </w:tc>
      </w:tr>
      <w:tr w14:paraId="46F18ADC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9489FA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富国与中等收入国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A64E3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3.82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89D8FB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3.10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9863F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3.01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B4C9FE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1.27</w:t>
            </w:r>
          </w:p>
        </w:tc>
      </w:tr>
      <w:tr w14:paraId="101A5772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11717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同质工人基准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0ADBBC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18.93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5B26C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18.93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0CB63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18.93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D17D0C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1.00</w:t>
            </w:r>
          </w:p>
        </w:tc>
      </w:tr>
    </w:tbl>
    <w:p w14:paraId="645D6713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1显示，富国与穷国的整体效率差距为18.93倍，自选择将农业差距放大到29.23倍，同时将非农业差距缩小到13.45倍。富国与中等收入国的差距比只有1.27，说明这一机制在收入差距较大的经济体之间更突出。同质工人情景保持基准A差距不变，此时两个部门的生产率差距相同。</w:t>
      </w:r>
    </w:p>
    <w:p w14:paraId="399ECEB9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在基准模型中，富国和穷国的农业就业份额分别为2.47%、57.67%。富国农业工人的平均农业能力为全体人口均值的1.559倍，穷国为1.009倍。农业能力的放大因子为1.544，非农业为0.711，两者相除得到2.17。</w:t>
      </w:r>
    </w:p>
    <w:p w14:paraId="4C294FEB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4.</w:t>
      </w:r>
      <w:r>
        <w:rPr>
          <w:rFonts w:ascii="黑体" w:hAnsi="黑体" w:eastAsia="黑体" w:cs="黑体"/>
          <w:b/>
          <w:color w:val="000000"/>
          <w:sz w:val="32"/>
        </w:rPr>
        <w:t>敏感性与替代实验</w:t>
      </w:r>
    </w:p>
    <w:p w14:paraId="4361A861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表2能力相关性情景</w:t>
      </w:r>
    </w:p>
    <w:tbl>
      <w:tblPr>
        <w:tblStyle w:val="32"/>
        <w:tblW w:w="9026" w:type="dxa"/>
        <w:jc w:val="center"/>
        <w:tblBorders>
          <w:top w:val="single" w:color="000000" w:sz="12" w:space="0"/>
          <w:left w:val="none" w:color="000000" w:sz="8" w:space="0"/>
          <w:bottom w:val="single" w:color="000000" w:sz="12" w:space="0"/>
          <w:right w:val="none" w:color="000000" w:sz="8" w:space="0"/>
          <w:insideH w:val="none" w:color="000000" w:sz="8" w:space="0"/>
          <w:insideV w:val="none" w:color="000000" w:sz="8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05"/>
        <w:gridCol w:w="1805"/>
        <w:gridCol w:w="1805"/>
        <w:gridCol w:w="1805"/>
        <w:gridCol w:w="1806"/>
      </w:tblGrid>
      <w:tr w14:paraId="6E888E1B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  <w:jc w:val="center"/>
        </w:trPr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A48BA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Kendallτ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DE5F29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农业差距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509F9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非农差距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BE022E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差距比</w:t>
            </w:r>
          </w:p>
        </w:tc>
        <w:tc>
          <w:tcPr>
            <w:tcW w:w="18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CEA3E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美国工资比</w:t>
            </w:r>
          </w:p>
        </w:tc>
      </w:tr>
      <w:tr w14:paraId="0F84E240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D064AD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0.0000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25A9D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36.64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F1544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9.50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838C3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3.86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AA16F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0.791</w:t>
            </w:r>
          </w:p>
        </w:tc>
      </w:tr>
      <w:tr w14:paraId="4111C135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EC06A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0.2000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35D36F4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33.45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765B5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11.22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156F41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2.98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2A455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0.786</w:t>
            </w:r>
          </w:p>
        </w:tc>
      </w:tr>
      <w:tr w14:paraId="3B94C9DC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B12E39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0.3000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682C90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30.74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5CC0E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12.52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59FB9E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2.46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E53F9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0.744</w:t>
            </w:r>
          </w:p>
        </w:tc>
      </w:tr>
      <w:tr w14:paraId="302F17F9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A172E2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0.3451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11F637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29.23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A6D0B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13.45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120DD3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2.17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75DF37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0.703</w:t>
            </w:r>
          </w:p>
        </w:tc>
      </w:tr>
      <w:tr w14:paraId="4FBC92A3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1BBC630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0.4000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BE5237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28.00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EBE04B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14.46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94867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1.94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C9AFD5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0.664</w:t>
            </w:r>
          </w:p>
        </w:tc>
      </w:tr>
      <w:tr w14:paraId="29BD1118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2D1DA4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0.5000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05D576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25.57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AE6E9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15.30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40460D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1.67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2CDA6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0.607</w:t>
            </w:r>
          </w:p>
        </w:tc>
      </w:tr>
      <w:tr w14:paraId="70E57DB0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F0DDC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0.9900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69435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21.10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690AA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17.90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01BA1F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1.18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CE49C1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0.521</w:t>
            </w:r>
          </w:p>
        </w:tc>
      </w:tr>
    </w:tbl>
    <w:p w14:paraId="27C7C6C3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  <w:rPr>
          <w:rFonts w:ascii="Times New Roman" w:hAnsi="Times New Roman" w:eastAsia="宋体" w:cs="Times New Roman"/>
          <w:b w:val="0"/>
          <w:color w:val="000000"/>
          <w:sz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表2使用各情景脚本中已经给定的参数组合。随着能力相关性提高，农业与非农业差距比总体下降，表明较强能力相关性削弱了选择效应。</w:t>
      </w:r>
    </w:p>
    <w:p w14:paraId="6E38BBC1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这里的τ为Kendall秩相关，是一种统计量。</w:t>
      </w:r>
    </w:p>
    <w:p w14:paraId="76ABD79D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仅降低整体效率的A4实验中，有选择与近似无选择时的差距比分别为1.36、1.02。另一个同时降低农业专有效率的实验中，两者分别为9.13、3.33，选择使差距比提高约2.74倍。固定源代码参数下，后一个实验的非农业差距为4.45倍，未重新校准为精确4倍。</w:t>
      </w:r>
    </w:p>
    <w:p w14:paraId="237EABAA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5.</w:t>
      </w:r>
      <w:r>
        <w:rPr>
          <w:rFonts w:ascii="黑体" w:hAnsi="黑体" w:eastAsia="黑体" w:cs="黑体"/>
          <w:b/>
          <w:color w:val="000000"/>
          <w:sz w:val="32"/>
        </w:rPr>
        <w:t>资本和土地扩展</w:t>
      </w:r>
    </w:p>
    <w:p w14:paraId="278E84E1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表3资本土地模型的生产率差距</w:t>
      </w:r>
    </w:p>
    <w:tbl>
      <w:tblPr>
        <w:tblStyle w:val="32"/>
        <w:tblW w:w="9026" w:type="dxa"/>
        <w:jc w:val="center"/>
        <w:tblBorders>
          <w:top w:val="single" w:color="000000" w:sz="12" w:space="0"/>
          <w:left w:val="none" w:color="000000" w:sz="8" w:space="0"/>
          <w:bottom w:val="single" w:color="000000" w:sz="12" w:space="0"/>
          <w:right w:val="none" w:color="000000" w:sz="8" w:space="0"/>
          <w:insideH w:val="none" w:color="000000" w:sz="8" w:space="0"/>
          <w:insideV w:val="none" w:color="000000" w:sz="8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805"/>
        <w:gridCol w:w="1805"/>
        <w:gridCol w:w="1805"/>
        <w:gridCol w:w="1805"/>
        <w:gridCol w:w="1806"/>
      </w:tblGrid>
      <w:tr w14:paraId="1BCCB2C5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  <w:jc w:val="center"/>
        </w:trPr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4B4A66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情景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EB6D20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农业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78791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GDP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54095F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非农业</w:t>
            </w:r>
          </w:p>
        </w:tc>
        <w:tc>
          <w:tcPr>
            <w:tcW w:w="18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45A059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农业/非农</w:t>
            </w:r>
          </w:p>
        </w:tc>
      </w:tr>
      <w:tr w14:paraId="67CB6B1F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91ED095">
            <w:pPr>
              <w:keepNext w:val="0"/>
              <w:keepLines/>
              <w:wordWrap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有选择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396AD9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36.63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19069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21.76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3CFC63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10.21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6B6717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3.59</w:t>
            </w:r>
          </w:p>
        </w:tc>
      </w:tr>
      <w:tr w14:paraId="2B4D848A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73033D">
            <w:pPr>
              <w:keepNext w:val="0"/>
              <w:keepLines/>
              <w:wordWrap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近似无选择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F4EF7E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32.70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BFF0A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20.83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EE341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15.91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539E00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2.06</w:t>
            </w:r>
          </w:p>
        </w:tc>
      </w:tr>
      <w:tr w14:paraId="40AD38F6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5A9503">
            <w:pPr>
              <w:keepNext w:val="0"/>
              <w:keepLines/>
              <w:wordWrap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无选择及无土地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2929EA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16.20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60106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14.85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AFE96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14.50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9B9356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1.12</w:t>
            </w:r>
          </w:p>
        </w:tc>
      </w:tr>
    </w:tbl>
    <w:p w14:paraId="039BF530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表3中，有选择模型的差距比为3.59，近似无选择时降为2.06；两者之比约为1.74。按条件平均能力分解，农业和非农业的选择因子之比约为2.58。两种算法说明选择仍有明显作用，但衡量的分解方式不同。</w:t>
      </w:r>
    </w:p>
    <w:p w14:paraId="626B44D5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扩展程序沿用作者的资本、土地和偏好参数，以及按劳动收入比例分配要素收入的实现。近似无选择保留形状倒数0.005；近似无土地仍保留土地份额0.001，均按源代码执行。美国、富国和穷国的资本产出比分别约为2.50、2.52、1.05。</w:t>
      </w:r>
    </w:p>
    <w:p w14:paraId="4E40FFB2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6.</w:t>
      </w:r>
      <w:r>
        <w:rPr>
          <w:rFonts w:ascii="黑体" w:hAnsi="黑体" w:eastAsia="黑体" w:cs="黑体"/>
          <w:b/>
          <w:color w:val="000000"/>
          <w:sz w:val="32"/>
        </w:rPr>
        <w:t>CPS统计与五张图的解读</w:t>
      </w:r>
    </w:p>
    <w:p w14:paraId="2E6360BE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CPS使用1996—2010年的15个常规年度文件，按作者程序构造小时工资、调整物价并匹配相邻年份。最终得到311,037组匹配记录，其中农业2,720组、非农业308,317组。4组非农业记录的最小权重为零，不参与加权协方差；同一人可能出现在不同年份组合中，因此记录组数不等于独立受访人数。</w:t>
      </w:r>
    </w:p>
    <w:p w14:paraId="491E1424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样本构造完全按作者程序执行：输入为1996—2010年共15个年度的CPS调查记录（2,685,662条）；农业劳动者按主要行业为农、林、渔定义；小时工资=年劳动收入/年工时，其中劳动收入=工资收入+0.46×自雇农业收入+0.66×自雇非农收入（系数为作者对三类收入测量误差的调整）；剔除小时工资低于当年联邦最低工资的观测（1996年为4.75美元，1997—2006年为5.15美元，2007—2010年逐步上调至7.25美元）；全部工资按CPI折算为2010年美元（以2010年指数218.1为基准）。个人面板按户号、家庭号与个人号识别同一人，通过相邻年匹配构造，要求两年性别与种族一致、年龄恰好增加一岁、迁移状态变量（mig_sh）非零且部门保持不变，最后剔除重复匹配的个体，得到上文311,037组相邻年工资对。全部统计按抽样权重加权。</w:t>
      </w:r>
    </w:p>
    <w:p w14:paraId="7F16507F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表4CPS工资统计</w:t>
      </w:r>
    </w:p>
    <w:tbl>
      <w:tblPr>
        <w:tblStyle w:val="32"/>
        <w:tblW w:w="9026" w:type="dxa"/>
        <w:jc w:val="center"/>
        <w:tblBorders>
          <w:top w:val="single" w:color="000000" w:sz="12" w:space="0"/>
          <w:left w:val="none" w:color="000000" w:sz="8" w:space="0"/>
          <w:bottom w:val="single" w:color="000000" w:sz="12" w:space="0"/>
          <w:right w:val="none" w:color="000000" w:sz="8" w:space="0"/>
          <w:insideH w:val="none" w:color="000000" w:sz="8" w:space="0"/>
          <w:insideV w:val="none" w:color="000000" w:sz="8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56"/>
        <w:gridCol w:w="2256"/>
        <w:gridCol w:w="2256"/>
        <w:gridCol w:w="2258"/>
      </w:tblGrid>
      <w:tr w14:paraId="3A7305AF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  <w:jc w:val="center"/>
        </w:trPr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9ED4D0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部门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E38232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平均小时工资</w:t>
            </w:r>
          </w:p>
        </w:tc>
        <w:tc>
          <w:tcPr>
            <w:tcW w:w="225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BDE367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对数工资标准差</w:t>
            </w:r>
          </w:p>
        </w:tc>
        <w:tc>
          <w:tcPr>
            <w:tcW w:w="2258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8CD376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长期成分标准差</w:t>
            </w:r>
          </w:p>
        </w:tc>
      </w:tr>
      <w:tr w14:paraId="56BA10E3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2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35A49DA">
            <w:pPr>
              <w:keepNext w:val="0"/>
              <w:keepLines/>
              <w:wordWrap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农业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5B448B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18.9451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7260630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0.5944</w:t>
            </w: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7CD461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0.3752</w:t>
            </w:r>
          </w:p>
        </w:tc>
      </w:tr>
      <w:tr w14:paraId="157CAB2F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627C210">
            <w:pPr>
              <w:keepNext w:val="0"/>
              <w:keepLines/>
              <w:wordWrap/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非农业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3CEBC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27.0619</w:t>
            </w:r>
          </w:p>
        </w:tc>
        <w:tc>
          <w:tcPr>
            <w:tcW w:w="225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21834E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0.6164</w:t>
            </w:r>
          </w:p>
        </w:tc>
        <w:tc>
          <w:tcPr>
            <w:tcW w:w="2258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4D90DE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0.4734</w:t>
            </w:r>
          </w:p>
        </w:tc>
      </w:tr>
    </w:tbl>
    <w:p w14:paraId="11EE4BAB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  <w:rPr>
          <w:rFonts w:ascii="Times New Roman" w:hAnsi="Times New Roman" w:eastAsia="宋体" w:cs="Times New Roman"/>
          <w:b w:val="0"/>
          <w:color w:val="000000"/>
          <w:sz w:val="24"/>
        </w:rPr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表4的工资以2010年美元计，农业与非农业平均工资比为0.7001。长期成分标准差由相邻年份对数工资的加权协方差开平方得到，对应作者的持久能力差异校准思路。原代码的目标为非农业0.4733、农业0.3795、工资比0.7014；本套数据计算接近这些目标，模型仍使用作者给定参数。</w:t>
      </w:r>
    </w:p>
    <w:p w14:paraId="544FE168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  <w:rPr>
          <w:rFonts w:ascii="Times New Roman" w:hAnsi="Times New Roman" w:eastAsia="宋体" w:cs="Times New Roman"/>
          <w:b w:val="0"/>
          <w:color w:val="000000"/>
          <w:sz w:val="24"/>
        </w:rPr>
      </w:pPr>
    </w:p>
    <w:p w14:paraId="6273FECE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1表明农业工资一般低于非农业；图2表明农业就业份额随收入提高而下降；图3和图5分别使用消费者价格和生产者价格，展示农业相对价格与收入的关系。四张图中散点为作者提供的国家观测，虚线为模型曲线。</w:t>
      </w:r>
    </w:p>
    <w:p w14:paraId="2FE733E4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图4使用162个国家女性农业就业数据，回归斜率为0.425（P&lt;0.001）。农业就业占比每提高1个百分点，农业劳动者中女性占比平均提高约0.425个百分点。这是国家层面相关关系；女性在不同劳动任务中的生产率差异还涉及技术、资本和劳动条件。</w:t>
      </w:r>
    </w:p>
    <w:p w14:paraId="383EF64F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跨国图形所用数据均按论文附录C的口径取得：劳均GDP取自宾夕法尼亚大学世界表PWT6.2（变量rgdpch）；农业就业份额与农业GDP份额取自FAO统计年鉴2004年在线版；农业相对价格由世界银行2005年国际比较项目（ICP）的分类支出数据构造（农业部门=食品与非酒精饮料及酒类与烟草，编码1101/1102；非农业=全部个人消费与固定资本形成，编码11与15，扣除上述食品类）；图4的女性农业就业数据来自FAO，覆盖162个国家。</w:t>
      </w:r>
    </w:p>
    <w:p w14:paraId="5923B8BC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drawing>
          <wp:inline distT="0" distB="0" distL="114300" distR="114300">
            <wp:extent cx="5219700" cy="34207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3914" b="597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01A3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图1　部门工资比：农业/非农业平均工资与劳均GDP（散点为国家数据，虚线为模型）</w:t>
      </w:r>
    </w:p>
    <w:p w14:paraId="63A97E69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</w:p>
    <w:p w14:paraId="6A880FA0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drawing>
          <wp:inline distT="0" distB="0" distL="114300" distR="114300">
            <wp:extent cx="5219700" cy="34270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2944" b="677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21F5E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图2　农业就业份额与劳均GDP（模型预测的份额随收入提高而下降）</w:t>
      </w:r>
    </w:p>
    <w:p w14:paraId="41E2B265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drawing>
          <wp:inline distT="0" distB="0" distL="114300" distR="114300">
            <wp:extent cx="5219700" cy="34474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t="3346" b="583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18DA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图3　农业相对消费者价格与劳均GDP（穷国农业相对价格更高）</w:t>
      </w:r>
    </w:p>
    <w:p w14:paraId="5A5316D4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</w:p>
    <w:p w14:paraId="698B5C51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drawing>
          <wp:inline distT="0" distB="0" distL="114300" distR="114300">
            <wp:extent cx="5219700" cy="3371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t="3831" b="734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915B1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图4　农业劳动者中的女性占比与农业就业份额（162国，回归斜率0.425）</w:t>
      </w:r>
    </w:p>
    <w:p w14:paraId="70B47C86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drawing>
          <wp:inline distT="0" distB="0" distL="114300" distR="114300">
            <wp:extent cx="5219700" cy="37960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7A82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图5　农业相对生产者价格与劳均GDP</w:t>
      </w:r>
    </w:p>
    <w:p w14:paraId="70634C6F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7.</w:t>
      </w:r>
      <w:r>
        <w:rPr>
          <w:rFonts w:ascii="黑体" w:hAnsi="黑体" w:eastAsia="黑体" w:cs="黑体"/>
          <w:b/>
          <w:color w:val="000000"/>
          <w:sz w:val="32"/>
        </w:rPr>
        <w:t>论文报告值与复现值的对照</w:t>
      </w:r>
    </w:p>
    <w:p w14:paraId="5E29E09A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论文定稿报告的数值与本次复现结果的对照见表5：两者方向与量级完全一致，数值上的小幅差异主要来自代码包与论文定稿之间的版本差别，而非复现错误。</w:t>
      </w:r>
    </w:p>
    <w:p w14:paraId="6CD1CEED">
      <w:pPr>
        <w:keepNext/>
        <w:keepLines w:val="0"/>
        <w:widowControl/>
        <w:wordWrap/>
        <w:spacing w:before="120" w:after="60" w:line="240" w:lineRule="auto"/>
        <w:ind w:left="0" w:right="0" w:firstLine="0"/>
        <w:jc w:val="center"/>
      </w:pPr>
      <w:r>
        <w:rPr>
          <w:rFonts w:ascii="黑体" w:hAnsi="黑体" w:eastAsia="黑体" w:cs="黑体"/>
          <w:b/>
          <w:color w:val="000000"/>
          <w:sz w:val="21"/>
        </w:rPr>
        <w:t>表5论文报告值与本次复现值对照</w:t>
      </w:r>
    </w:p>
    <w:tbl>
      <w:tblPr>
        <w:tblStyle w:val="32"/>
        <w:tblW w:w="9026" w:type="dxa"/>
        <w:jc w:val="center"/>
        <w:tblBorders>
          <w:top w:val="single" w:color="000000" w:sz="12" w:space="0"/>
          <w:left w:val="none" w:color="000000" w:sz="8" w:space="0"/>
          <w:bottom w:val="single" w:color="000000" w:sz="12" w:space="0"/>
          <w:right w:val="none" w:color="000000" w:sz="8" w:space="0"/>
          <w:insideH w:val="none" w:color="000000" w:sz="8" w:space="0"/>
          <w:insideV w:val="none" w:color="000000" w:sz="8" w:space="0"/>
        </w:tblBorders>
        <w:shd w:val="clear" w:color="auto" w:fill="auto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449"/>
        <w:gridCol w:w="1161"/>
        <w:gridCol w:w="1805"/>
        <w:gridCol w:w="1805"/>
        <w:gridCol w:w="1806"/>
      </w:tblGrid>
      <w:tr w14:paraId="0DD2852A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  <w:jc w:val="center"/>
        </w:trPr>
        <w:tc>
          <w:tcPr>
            <w:tcW w:w="2449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DCDEF79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指标</w:t>
            </w:r>
          </w:p>
        </w:tc>
        <w:tc>
          <w:tcPr>
            <w:tcW w:w="1161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CDBA3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论文报告值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6761A84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本次复现值</w:t>
            </w:r>
          </w:p>
        </w:tc>
        <w:tc>
          <w:tcPr>
            <w:tcW w:w="1805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F606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论文出处</w:t>
            </w:r>
          </w:p>
        </w:tc>
        <w:tc>
          <w:tcPr>
            <w:tcW w:w="1806" w:type="dxa"/>
            <w:tcBorders>
              <w:top w:val="single" w:color="000000" w:sz="12" w:space="0"/>
              <w:left w:val="nil"/>
              <w:bottom w:val="single" w:color="000000" w:sz="6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8E192C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21"/>
              </w:rPr>
              <w:t>主要差异来源</w:t>
            </w:r>
          </w:p>
        </w:tc>
      </w:tr>
      <w:tr w14:paraId="496171F5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759EB0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sz w:val="21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基准实验：农业差距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5C3FDD0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32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B876F6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29.23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9D0790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E49004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代码包参数微调</w:t>
            </w:r>
          </w:p>
        </w:tc>
      </w:tr>
      <w:tr w14:paraId="2CE355CE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025296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sz w:val="21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基准实验：非农差距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ECDC7F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14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5B54B4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13.45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973B766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表2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EF73BB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同上</w:t>
            </w:r>
          </w:p>
        </w:tc>
      </w:tr>
      <w:tr w14:paraId="3955B4B2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CC8FEE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sz w:val="21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基准实验：差距比</w:t>
            </w:r>
            <w:r>
              <w:rPr>
                <w:rFonts w:ascii="Times New Roman" w:hAnsi="Times New Roman" w:eastAsia="宋体" w:cs="Times New Roman"/>
                <w:b w:val="0"/>
                <w:color w:val="000000"/>
                <w:sz w:val="15"/>
                <w:szCs w:val="16"/>
              </w:rPr>
              <w:t>（农/非农）</w:t>
            </w:r>
          </w:p>
        </w:tc>
        <w:tc>
          <w:tcPr>
            <w:tcW w:w="1161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C1233C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2.3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71E377A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2.17</w:t>
            </w:r>
          </w:p>
        </w:tc>
        <w:tc>
          <w:tcPr>
            <w:tcW w:w="1805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F6F7A71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表2</w:t>
            </w:r>
          </w:p>
        </w:tc>
        <w:tc>
          <w:tcPr>
            <w:tcW w:w="1806" w:type="dxa"/>
            <w:tcBorders>
              <w:top w:val="nil"/>
              <w:left w:val="nil"/>
              <w:bottom w:val="single" w:color="000000" w:sz="12" w:space="0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A1F49A4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同上</w:t>
            </w:r>
          </w:p>
        </w:tc>
      </w:tr>
      <w:tr w14:paraId="321D0361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488CF9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富国—中等收入国：差距比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238C0B8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1.3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7A22C0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1.27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8D5CB1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4A17E87F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同上</w:t>
            </w:r>
          </w:p>
        </w:tc>
      </w:tr>
      <w:tr w14:paraId="7CFE226E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shd w:val="clear" w:color="auto" w:fill="auto"/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0923A6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资本土地模型：差距比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C7EAFD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3.9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5F03B9EC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3.59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2ABBABDB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表7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39973383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同上</w:t>
            </w:r>
          </w:p>
        </w:tc>
      </w:tr>
      <w:tr w14:paraId="0547E123">
        <w:tblPrEx>
          <w:tblBorders>
            <w:top w:val="single" w:color="000000" w:sz="12" w:space="0"/>
            <w:left w:val="none" w:color="000000" w:sz="8" w:space="0"/>
            <w:bottom w:val="single" w:color="000000" w:sz="12" w:space="0"/>
            <w:right w:val="none" w:color="000000" w:sz="8" w:space="0"/>
            <w:insideH w:val="none" w:color="000000" w:sz="8" w:space="0"/>
            <w:insideV w:val="none" w:color="000000" w:sz="8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jc w:val="center"/>
        </w:trPr>
        <w:tc>
          <w:tcPr>
            <w:tcW w:w="2449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BF08A5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  <w:szCs w:val="20"/>
              </w:rPr>
              <w:t>农业女性占比回归斜率</w:t>
            </w:r>
          </w:p>
        </w:tc>
        <w:tc>
          <w:tcPr>
            <w:tcW w:w="1161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60BA5FC7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0.29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7A1669E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0.425</w:t>
            </w:r>
          </w:p>
        </w:tc>
        <w:tc>
          <w:tcPr>
            <w:tcW w:w="1805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01FA050D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正文图4</w:t>
            </w:r>
          </w:p>
        </w:tc>
        <w:tc>
          <w:tcPr>
            <w:tcW w:w="180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  <w:tl2br w:val="nil"/>
              <w:tr2bl w:val="nil"/>
            </w:tcBorders>
            <w:shd w:val="clear" w:color="auto" w:fill="auto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</w:tcPr>
          <w:p w14:paraId="196A0E61">
            <w:pPr>
              <w:keepNext w:val="0"/>
              <w:keepLines/>
              <w:wordWrap/>
              <w:spacing w:before="0" w:after="0" w:line="240" w:lineRule="auto"/>
              <w:ind w:firstLine="0"/>
              <w:jc w:val="center"/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国家数据更新</w:t>
            </w:r>
          </w:p>
        </w:tc>
      </w:tr>
    </w:tbl>
    <w:p w14:paraId="225F1C96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  <w:rPr>
          <w:rFonts w:ascii="Times New Roman" w:hAnsi="Times New Roman" w:eastAsia="宋体" w:cs="Times New Roman"/>
          <w:b w:val="0"/>
          <w:color w:val="000000"/>
          <w:sz w:val="24"/>
        </w:rPr>
      </w:pPr>
    </w:p>
    <w:p w14:paraId="116A5AEF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差异来源可归结为三点。其一，参数版本：论文报告的校准参数为θa=5.5、θn=2.8、ρ=2.2，而2012年8月代码包固定使用形状参数倒数0.1899与0.3707（即θa≈5.27、θn≈2.70）及Kendallτ=0.3451，模型数值随参数版本整体偏移。其二，CPS匹配样本：相邻年多对多匹配依赖观测排序，不同运行的匹配样本存在极小差异，工资矩在小数位上随之波动；本报告全部数字取自同一次完整运行。其三，跨国数据版本：代码包附带的国家级数据文件晚于论文定稿所用数据，图4回归斜率由论文的0.29变为本次的0.425，应主要由此解释。</w:t>
      </w:r>
    </w:p>
    <w:p w14:paraId="2ADDA086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机制讲解可归纳为：食品生存需求使贫困经济体保留较多农业劳动；富裕经济体只有农业比较优势较强的工人继续务农，于是农业平均生产率差距被放大。农业相对价格上升会吸引工人进入农业。差距比2.17描述模型内部的放大作用；将它直接除以数据差距比10.7，并不能得到具有统一分解含义的解释比例。</w:t>
      </w:r>
    </w:p>
    <w:p w14:paraId="3181EA47">
      <w:pPr>
        <w:pStyle w:val="3"/>
        <w:keepNext/>
        <w:keepLines w:val="0"/>
        <w:widowControl/>
        <w:wordWrap/>
        <w:spacing w:before="240" w:after="120" w:line="240" w:lineRule="auto"/>
        <w:ind w:left="0" w:right="0" w:firstLine="0"/>
        <w:jc w:val="left"/>
      </w:pPr>
      <w:r>
        <w:rPr>
          <w:rFonts w:hint="eastAsia" w:ascii="黑体" w:hAnsi="黑体" w:eastAsia="黑体" w:cs="黑体"/>
          <w:b/>
          <w:color w:val="000000"/>
          <w:sz w:val="32"/>
          <w:lang w:val="en-US" w:eastAsia="zh-CN"/>
        </w:rPr>
        <w:t>8.</w:t>
      </w:r>
      <w:r>
        <w:rPr>
          <w:rFonts w:ascii="黑体" w:hAnsi="黑体" w:eastAsia="黑体" w:cs="黑体"/>
          <w:b/>
          <w:color w:val="000000"/>
          <w:sz w:val="32"/>
        </w:rPr>
        <w:t>结论</w:t>
      </w:r>
    </w:p>
    <w:p w14:paraId="40619DF8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次复现完整跑通作者代码包的全部三个程序，得到与论文方向一致、量级接近的结果。基准模型复现出农业差距29.23倍、非农业13.45倍、差距比2.17（论文为32、14、2.3）；富国与中等收入国的差距比仅1.27，复现了论文“选择机制在贫富差距悬殊的国家间更突出”的判断；能力相关性越高差距比越低（表2）、资本土地模型差距比升至3.59、关闭选择与关闭土地的作用都与论文“选择与土地贡献相当”的分解结论相近，敏感性实验全部复现成立。</w:t>
      </w:r>
    </w:p>
    <w:p w14:paraId="16D385CD">
      <w:pPr>
        <w:keepNext w:val="0"/>
        <w:keepLines w:val="0"/>
        <w:widowControl/>
        <w:wordWrap/>
        <w:spacing w:before="0" w:after="0" w:line="360" w:lineRule="auto"/>
        <w:ind w:left="0" w:right="0"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两点边界需要说明。其一，富国与中等收入国之间的差距比只有1.27，说明选择机制主要解释的是贫富极端国家之间的农业差距；其二，模型数值依赖代码包的固定参数版本，与论文定稿存在小幅系统性差异（见第7节）。在此边界内，复现支持论文的核心结论：在生存性食品需求之下，工人的部门自选择定量地放大了农业的跨国生产率差异，是理解“农业45倍、非农业4倍”这一典型事实的重要机制。</w:t>
      </w: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17" w:right="1417" w:bottom="1417" w:left="1417" w:header="709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8D362">
    <w:pPr>
      <w:pStyle w:val="24"/>
      <w:spacing w:before="0" w:after="0" w:line="240" w:lineRule="auto"/>
      <w:ind w:firstLine="0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1849C">
    <w:pPr>
      <w:pStyle w:val="25"/>
      <w:spacing w:before="0" w:after="0" w:line="240" w:lineRule="auto"/>
      <w:ind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3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360" w:lineRule="auto"/>
      <w:ind w:firstLine="480"/>
    </w:pPr>
    <w:rPr>
      <w:rFonts w:ascii="Times New Roman" w:hAnsi="Times New Roman" w:eastAsia="宋体" w:cs="Times New Roman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color w:val="000000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color w:val="000000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color w:val="000000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color w:val="000000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color w:val="000000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color w:val="000000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  <w:rPr>
      <w:color w:val="000000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color w:val="000000"/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  <w:rPr>
      <w:color w:val="000000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/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6091" w:themeFill="accent1" w:themeFillShade="BF"/>
      </w:tcPr>
    </w:tblStylePr>
    <w:tblStylePr w:type="lastCol">
      <w:rPr>
        <w:color w:val="000000"/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734" w:themeFill="accent2" w:themeFillShade="BF"/>
      </w:tcPr>
    </w:tblStylePr>
    <w:tblStylePr w:type="lastCol">
      <w:rPr>
        <w:color w:val="000000"/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9" w:themeFill="accent6" w:themeFillShade="BF"/>
      </w:tcPr>
    </w:tblStylePr>
    <w:tblStylePr w:type="lastCol">
      <w:rPr>
        <w:color w:val="000000"/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000000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883</Words>
  <Characters>1052</Characters>
  <Lines>0</Lines>
  <Paragraphs>0</Paragraphs>
  <TotalTime>8</TotalTime>
  <ScaleCrop>false</ScaleCrop>
  <LinksUpToDate>false</LinksUpToDate>
  <CharactersWithSpaces>1062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2026-10-12T14:06:27Z</dcterms:created>
  <dc:creator>23960</dc:creator>
  <cp:lastModifiedBy>nlye****@***b.vip</cp:lastModifiedBy>
  <dcterms:modified xsi:type="dcterms:W3CDTF">2026-10-12T14:14:59Z</dcterms:modified>
  <dc:title>农业自选择模型复现与结果讲解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eyJoZGlkIjoiMzhhNzA4ODk5YWQyYWQ1ZjcwYTkxYjViMDUzZmU3MTIiLCJ1c2VySWQiOiIxODA1MDY2NDY3In0=</vt:lpwstr>
  </property>
  <property fmtid="{D5CDD505-2E9C-101B-9397-08002B2CF9AE}" pid="3" name="KSOProductBuildVer">
    <vt:lpwstr>2052-12.1.0.29161</vt:lpwstr>
  </property>
  <property fmtid="{D5CDD505-2E9C-101B-9397-08002B2CF9AE}" pid="4" name="ICV">
    <vt:lpwstr>F1AA2F60F4D44B45BFEABA52E16A99F0_12</vt:lpwstr>
  </property>
</Properties>
</file>