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2E5D6">
      <w:pPr>
        <w:pStyle w:val="32"/>
        <w:jc w:val="left"/>
      </w:pPr>
      <w:bookmarkStart w:id="8" w:name="_GoBack"/>
      <w:bookmarkEnd w:id="8"/>
      <w:r>
        <w:t>ERP I003 预算优化详细需求说明</w:t>
      </w:r>
    </w:p>
    <w:p w14:paraId="20D2D369">
      <w:pPr>
        <w:spacing w:after="100" w:line="283" w:lineRule="auto"/>
      </w:pPr>
      <w:r>
        <w:rPr>
          <w:rFonts w:ascii="Aptos" w:hAnsi="Aptos" w:eastAsia="微软雅黑"/>
          <w:color w:val="000000"/>
          <w:sz w:val="21"/>
        </w:rPr>
        <w:t>研发与测试需求  |  V1.10  |  2026年10月27日</w:t>
      </w:r>
    </w:p>
    <w:p w14:paraId="646754AA">
      <w:pPr>
        <w:keepNext/>
        <w:spacing w:before="100" w:after="60" w:line="283" w:lineRule="auto"/>
      </w:pPr>
      <w:r>
        <w:rPr>
          <w:rFonts w:ascii="Aptos" w:hAnsi="Aptos" w:eastAsia="微软雅黑"/>
          <w:b/>
          <w:color w:val="000000"/>
          <w:sz w:val="26"/>
        </w:rPr>
        <w:t>目录</w:t>
      </w:r>
    </w:p>
    <w:p w14:paraId="44A8E676">
      <w:pPr>
        <w:pStyle w:val="26"/>
        <w:tabs>
          <w:tab w:val="right" w:leader="dot" w:pos="9412"/>
        </w:tabs>
      </w:pPr>
      <w:r>
        <w:fldChar w:fldCharType="begin"/>
      </w:r>
      <w:r>
        <w:instrText xml:space="preserve"> TOC \o "1-1" \h \z </w:instrText>
      </w:r>
      <w:r>
        <w:fldChar w:fldCharType="separate"/>
      </w:r>
      <w:r>
        <w:fldChar w:fldCharType="begin"/>
      </w:r>
      <w:r>
        <w:instrText xml:space="preserve"> HYPERLINK \l _Toc25422 </w:instrText>
      </w:r>
      <w:r>
        <w:fldChar w:fldCharType="separate"/>
      </w:r>
      <w:r>
        <w:rPr>
          <w:rFonts w:hint="eastAsia" w:eastAsia="宋体"/>
          <w:lang w:val="en-US" w:eastAsia="zh-CN"/>
        </w:rPr>
        <w:t>1</w:t>
      </w:r>
      <w:r>
        <w:t>. 目标与范围</w:t>
      </w:r>
      <w:r>
        <w:tab/>
      </w:r>
      <w:r>
        <w:fldChar w:fldCharType="begin"/>
      </w:r>
      <w:r>
        <w:instrText xml:space="preserve"> PAGEREF _Toc25422 \h </w:instrText>
      </w:r>
      <w:r>
        <w:fldChar w:fldCharType="separate"/>
      </w:r>
      <w:r>
        <w:t>1</w:t>
      </w:r>
      <w:r>
        <w:fldChar w:fldCharType="end"/>
      </w:r>
      <w:r>
        <w:fldChar w:fldCharType="end"/>
      </w:r>
    </w:p>
    <w:p w14:paraId="491CA5B6">
      <w:pPr>
        <w:pStyle w:val="26"/>
        <w:tabs>
          <w:tab w:val="right" w:leader="dot" w:pos="9412"/>
        </w:tabs>
      </w:pPr>
      <w:r>
        <w:fldChar w:fldCharType="begin"/>
      </w:r>
      <w:r>
        <w:instrText xml:space="preserve"> HYPERLINK \l _Toc2796 </w:instrText>
      </w:r>
      <w:r>
        <w:fldChar w:fldCharType="separate"/>
      </w:r>
      <w:r>
        <w:rPr>
          <w:rFonts w:hint="eastAsia" w:eastAsia="宋体"/>
          <w:lang w:val="en-US" w:eastAsia="zh-CN"/>
        </w:rPr>
        <w:t>2</w:t>
      </w:r>
      <w:r>
        <w:t>. 预算状态流转总览</w:t>
      </w:r>
      <w:r>
        <w:tab/>
      </w:r>
      <w:r>
        <w:fldChar w:fldCharType="begin"/>
      </w:r>
      <w:r>
        <w:instrText xml:space="preserve"> PAGEREF _Toc2796 \h </w:instrText>
      </w:r>
      <w:r>
        <w:fldChar w:fldCharType="separate"/>
      </w:r>
      <w:r>
        <w:t>2</w:t>
      </w:r>
      <w:r>
        <w:fldChar w:fldCharType="end"/>
      </w:r>
      <w:r>
        <w:fldChar w:fldCharType="end"/>
      </w:r>
    </w:p>
    <w:p w14:paraId="242B2693">
      <w:pPr>
        <w:pStyle w:val="26"/>
        <w:tabs>
          <w:tab w:val="right" w:leader="dot" w:pos="9412"/>
        </w:tabs>
      </w:pPr>
      <w:r>
        <w:fldChar w:fldCharType="begin"/>
      </w:r>
      <w:r>
        <w:instrText xml:space="preserve"> HYPERLINK \l _Toc16193 </w:instrText>
      </w:r>
      <w:r>
        <w:fldChar w:fldCharType="separate"/>
      </w:r>
      <w:r>
        <w:rPr>
          <w:rFonts w:ascii="Aptos" w:hAnsi="Aptos" w:eastAsia="微软雅黑"/>
        </w:rPr>
        <w:t>3. 页面需求</w:t>
      </w:r>
      <w:r>
        <w:tab/>
      </w:r>
      <w:r>
        <w:fldChar w:fldCharType="begin"/>
      </w:r>
      <w:r>
        <w:instrText xml:space="preserve"> PAGEREF _Toc16193 \h </w:instrText>
      </w:r>
      <w:r>
        <w:fldChar w:fldCharType="separate"/>
      </w:r>
      <w:r>
        <w:t>5</w:t>
      </w:r>
      <w:r>
        <w:fldChar w:fldCharType="end"/>
      </w:r>
      <w:r>
        <w:fldChar w:fldCharType="end"/>
      </w:r>
    </w:p>
    <w:p w14:paraId="6399320D">
      <w:pPr>
        <w:pStyle w:val="26"/>
        <w:tabs>
          <w:tab w:val="right" w:leader="dot" w:pos="9412"/>
        </w:tabs>
      </w:pPr>
      <w:r>
        <w:fldChar w:fldCharType="begin"/>
      </w:r>
      <w:r>
        <w:instrText xml:space="preserve"> HYPERLINK \l _Toc3306 </w:instrText>
      </w:r>
      <w:r>
        <w:fldChar w:fldCharType="separate"/>
      </w:r>
      <w:r>
        <w:rPr>
          <w:rFonts w:ascii="Aptos" w:hAnsi="Aptos" w:eastAsia="微软雅黑"/>
        </w:rPr>
        <w:t>4. 预算与数据口径</w:t>
      </w:r>
      <w:r>
        <w:tab/>
      </w:r>
      <w:r>
        <w:fldChar w:fldCharType="begin"/>
      </w:r>
      <w:r>
        <w:instrText xml:space="preserve"> PAGEREF _Toc3306 \h </w:instrText>
      </w:r>
      <w:r>
        <w:fldChar w:fldCharType="separate"/>
      </w:r>
      <w:r>
        <w:t>10</w:t>
      </w:r>
      <w:r>
        <w:fldChar w:fldCharType="end"/>
      </w:r>
      <w:r>
        <w:fldChar w:fldCharType="end"/>
      </w:r>
    </w:p>
    <w:p w14:paraId="4600FAE4">
      <w:pPr>
        <w:pStyle w:val="26"/>
        <w:tabs>
          <w:tab w:val="right" w:leader="dot" w:pos="9412"/>
        </w:tabs>
      </w:pPr>
      <w:r>
        <w:fldChar w:fldCharType="begin"/>
      </w:r>
      <w:r>
        <w:instrText xml:space="preserve"> HYPERLINK \l _Toc24422 </w:instrText>
      </w:r>
      <w:r>
        <w:fldChar w:fldCharType="separate"/>
      </w:r>
      <w:r>
        <w:t>5. 历史数据处理方案</w:t>
      </w:r>
      <w:r>
        <w:tab/>
      </w:r>
      <w:r>
        <w:fldChar w:fldCharType="begin"/>
      </w:r>
      <w:r>
        <w:instrText xml:space="preserve"> PAGEREF _Toc24422 \h </w:instrText>
      </w:r>
      <w:r>
        <w:fldChar w:fldCharType="separate"/>
      </w:r>
      <w:r>
        <w:t>11</w:t>
      </w:r>
      <w:r>
        <w:fldChar w:fldCharType="end"/>
      </w:r>
      <w:r>
        <w:fldChar w:fldCharType="end"/>
      </w:r>
    </w:p>
    <w:p w14:paraId="310D5B68">
      <w:pPr>
        <w:pStyle w:val="26"/>
        <w:tabs>
          <w:tab w:val="right" w:leader="dot" w:pos="9412"/>
        </w:tabs>
      </w:pPr>
      <w:r>
        <w:fldChar w:fldCharType="begin"/>
      </w:r>
      <w:r>
        <w:instrText xml:space="preserve"> HYPERLINK \l _Toc827 </w:instrText>
      </w:r>
      <w:r>
        <w:fldChar w:fldCharType="separate"/>
      </w:r>
      <w:r>
        <w:t>6. 刷新、异常和空态</w:t>
      </w:r>
      <w:r>
        <w:tab/>
      </w:r>
      <w:r>
        <w:fldChar w:fldCharType="begin"/>
      </w:r>
      <w:r>
        <w:instrText xml:space="preserve"> PAGEREF _Toc827 \h </w:instrText>
      </w:r>
      <w:r>
        <w:fldChar w:fldCharType="separate"/>
      </w:r>
      <w:r>
        <w:t>14</w:t>
      </w:r>
      <w:r>
        <w:fldChar w:fldCharType="end"/>
      </w:r>
      <w:r>
        <w:fldChar w:fldCharType="end"/>
      </w:r>
    </w:p>
    <w:p w14:paraId="793DA987">
      <w:pPr>
        <w:spacing w:after="60" w:line="283" w:lineRule="auto"/>
      </w:pPr>
      <w:r>
        <w:fldChar w:fldCharType="end"/>
      </w:r>
    </w:p>
    <w:p w14:paraId="3CBD13FD">
      <w:pPr>
        <w:pStyle w:val="3"/>
      </w:pPr>
      <w:bookmarkStart w:id="0" w:name="_Toc26392"/>
      <w:bookmarkStart w:id="1" w:name="_Toc25422"/>
      <w:r>
        <w:rPr>
          <w:rFonts w:hint="eastAsia" w:eastAsia="宋体"/>
          <w:color w:val="000000"/>
          <w:lang w:val="en-US" w:eastAsia="zh-CN"/>
        </w:rPr>
        <w:t>1</w:t>
      </w:r>
      <w:r>
        <w:rPr>
          <w:color w:val="000000"/>
        </w:rPr>
        <w:t>. 目标与范围</w:t>
      </w:r>
      <w:bookmarkEnd w:id="0"/>
      <w:bookmarkEnd w:id="1"/>
    </w:p>
    <w:p w14:paraId="1F828BC5">
      <w:pPr>
        <w:pStyle w:val="4"/>
      </w:pPr>
      <w:r>
        <w:rPr>
          <w:rFonts w:hint="eastAsia" w:eastAsia="宋体"/>
          <w:color w:val="000000"/>
          <w:lang w:val="en-US" w:eastAsia="zh-CN"/>
        </w:rPr>
        <w:t>1</w:t>
      </w:r>
      <w:r>
        <w:rPr>
          <w:color w:val="000000"/>
        </w:rPr>
        <w:t>.1 目标</w:t>
      </w:r>
    </w:p>
    <w:p w14:paraId="3F78E4B2">
      <w:pPr>
        <w:spacing w:line="283" w:lineRule="auto"/>
        <w:ind w:left="255" w:hanging="255"/>
      </w:pPr>
      <w:r>
        <w:rPr>
          <w:rFonts w:ascii="Aptos" w:hAnsi="Aptos" w:eastAsia="微软雅黑"/>
          <w:color w:val="000000"/>
          <w:sz w:val="21"/>
        </w:rPr>
        <w:t>1. 在预算执行页面统一查询月度、全年预算执行、实际使用、当前有效冻结及管控额度。</w:t>
      </w:r>
    </w:p>
    <w:p w14:paraId="367372C0">
      <w:pPr>
        <w:spacing w:line="283" w:lineRule="auto"/>
        <w:ind w:left="255" w:hanging="255"/>
      </w:pPr>
      <w:r>
        <w:rPr>
          <w:rFonts w:ascii="Aptos" w:hAnsi="Aptos" w:eastAsia="微软雅黑"/>
          <w:color w:val="000000"/>
          <w:sz w:val="21"/>
        </w:rPr>
        <w:t>2. 复用既有预算编制、管控配置、实际导入、报销／付款单据及其余额计算口径。</w:t>
      </w:r>
    </w:p>
    <w:p w14:paraId="263A597A">
      <w:pPr>
        <w:spacing w:line="283" w:lineRule="auto"/>
        <w:ind w:left="255" w:hanging="255"/>
      </w:pPr>
      <w:r>
        <w:rPr>
          <w:rFonts w:ascii="Aptos" w:hAnsi="Aptos" w:eastAsia="微软雅黑"/>
          <w:color w:val="000000"/>
          <w:sz w:val="21"/>
        </w:rPr>
        <w:t>3. 提供来源可追溯的只读明细和额度解释，保证查询汇总、下钻明细和导出使用一致筛选范围与数据版本。</w:t>
      </w:r>
    </w:p>
    <w:p w14:paraId="618190BA">
      <w:pPr>
        <w:spacing w:line="283" w:lineRule="auto"/>
        <w:ind w:left="255" w:hanging="255"/>
      </w:pPr>
      <w:r>
        <w:rPr>
          <w:rFonts w:ascii="Aptos" w:hAnsi="Aptos" w:eastAsia="微软雅黑"/>
          <w:color w:val="000000"/>
          <w:sz w:val="21"/>
        </w:rPr>
        <w:t>4. 支持团队预算调整申请、草稿、提交快照及审批；整条流程审批通过时调整生效。</w:t>
      </w:r>
    </w:p>
    <w:p w14:paraId="508071A9">
      <w:pPr>
        <w:pStyle w:val="4"/>
      </w:pPr>
      <w:r>
        <w:rPr>
          <w:rFonts w:hint="eastAsia" w:eastAsia="宋体"/>
          <w:color w:val="000000"/>
          <w:lang w:val="en-US" w:eastAsia="zh-CN"/>
        </w:rPr>
        <w:t>1</w:t>
      </w:r>
      <w:r>
        <w:rPr>
          <w:color w:val="000000"/>
        </w:rPr>
        <w:t>.2 范围内</w:t>
      </w:r>
    </w:p>
    <w:p w14:paraId="2FE050F9">
      <w:pPr>
        <w:pStyle w:val="16"/>
        <w:keepLines/>
        <w:spacing w:after="40"/>
        <w:ind w:left="312" w:hanging="142"/>
      </w:pPr>
      <w:r>
        <w:rPr>
          <w:rFonts w:ascii="Aptos" w:hAnsi="Aptos" w:eastAsia="微软雅黑"/>
          <w:color w:val="000000"/>
          <w:sz w:val="21"/>
        </w:rPr>
        <w:t>财务预算概览入口调整；团队预算编制页签；唯一预算执行页签及月度／全年视图。</w:t>
      </w:r>
    </w:p>
    <w:p w14:paraId="60B204A6">
      <w:pPr>
        <w:pStyle w:val="16"/>
        <w:keepLines/>
        <w:spacing w:after="40"/>
        <w:ind w:left="312" w:hanging="142"/>
      </w:pPr>
      <w:r>
        <w:rPr>
          <w:rFonts w:ascii="Aptos" w:hAnsi="Aptos" w:eastAsia="微软雅黑"/>
          <w:color w:val="000000"/>
          <w:sz w:val="21"/>
        </w:rPr>
        <w:t>当前有效冻结明细、实际使用明细、额度说明、刷新与数据版本一致性。</w:t>
      </w:r>
    </w:p>
    <w:p w14:paraId="6E0C81F8">
      <w:pPr>
        <w:pStyle w:val="16"/>
        <w:keepLines/>
        <w:spacing w:after="40"/>
        <w:ind w:left="312" w:hanging="142"/>
      </w:pPr>
      <w:r>
        <w:rPr>
          <w:rFonts w:ascii="Aptos" w:hAnsi="Aptos" w:eastAsia="微软雅黑"/>
          <w:color w:val="000000"/>
          <w:sz w:val="21"/>
        </w:rPr>
        <w:t>现有实际值导入入口复用及导入批次追溯。</w:t>
      </w:r>
    </w:p>
    <w:p w14:paraId="57C6B238">
      <w:pPr>
        <w:pStyle w:val="16"/>
        <w:keepLines/>
        <w:spacing w:after="40"/>
        <w:ind w:left="312" w:hanging="142"/>
      </w:pPr>
      <w:r>
        <w:rPr>
          <w:rFonts w:ascii="Aptos" w:hAnsi="Aptos" w:eastAsia="微软雅黑"/>
          <w:color w:val="000000"/>
          <w:sz w:val="21"/>
        </w:rPr>
        <w:t>团队预算调整申请、按团队与财年保存草稿、提交快照、审批列表与详情，以及流程审批通过后的预算生效。</w:t>
      </w:r>
    </w:p>
    <w:p w14:paraId="34DCBCEF">
      <w:pPr>
        <w:pStyle w:val="16"/>
        <w:keepLines/>
        <w:spacing w:after="40"/>
        <w:ind w:left="312" w:hanging="142"/>
      </w:pPr>
      <w:r>
        <w:rPr>
          <w:rFonts w:ascii="Aptos" w:hAnsi="Aptos" w:eastAsia="微软雅黑"/>
          <w:color w:val="000000"/>
          <w:sz w:val="21"/>
        </w:rPr>
        <w:t>当前系统内 14 类业务单据审批详情页签；公共框架菜单、页签、关闭和状态保留。</w:t>
      </w:r>
    </w:p>
    <w:p w14:paraId="209532AC">
      <w:pPr>
        <w:pStyle w:val="3"/>
      </w:pPr>
      <w:bookmarkStart w:id="2" w:name="_Toc15951"/>
      <w:bookmarkStart w:id="3" w:name="_Toc2796"/>
      <w:r>
        <w:rPr>
          <w:rFonts w:hint="eastAsia" w:eastAsia="宋体"/>
          <w:color w:val="000000"/>
          <w:lang w:val="en-US" w:eastAsia="zh-CN"/>
        </w:rPr>
        <w:t>2</w:t>
      </w:r>
      <w:r>
        <w:rPr>
          <w:color w:val="000000"/>
        </w:rPr>
        <w:t>. 预算状态流转总览</w:t>
      </w:r>
      <w:bookmarkEnd w:id="2"/>
      <w:bookmarkEnd w:id="3"/>
    </w:p>
    <w:p w14:paraId="1B126B5B">
      <w:pPr>
        <w:spacing w:line="283" w:lineRule="auto"/>
      </w:pPr>
      <w:r>
        <w:rPr>
          <w:rFonts w:ascii="Aptos" w:hAnsi="Aptos" w:eastAsia="微软雅黑"/>
          <w:color w:val="000000"/>
          <w:sz w:val="21"/>
        </w:rPr>
        <w:t>同一单据提交版本按整单流转：达到该类型的实际确认节点后，当前有效预算金额一次性由冻结转为已使用，所有预算分摊行同步转换。分摊行用于团队、科目、月份和项目的金额归集，不拆分转换时点。</w:t>
      </w:r>
    </w:p>
    <w:p w14:paraId="2FF28F70">
      <w:pPr>
        <w:pStyle w:val="4"/>
      </w:pPr>
      <w:r>
        <w:rPr>
          <w:rFonts w:hint="eastAsia" w:eastAsia="宋体"/>
          <w:color w:val="000000"/>
          <w:lang w:val="en-US" w:eastAsia="zh-CN"/>
        </w:rPr>
        <w:t>2</w:t>
      </w:r>
      <w:r>
        <w:rPr>
          <w:color w:val="000000"/>
        </w:rPr>
        <w:t>.1 状态定义</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402"/>
        <w:gridCol w:w="4592"/>
      </w:tblGrid>
      <w:tr w14:paraId="38BD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52DA6F7">
            <w:pPr>
              <w:keepNext/>
              <w:keepLines/>
              <w:jc w:val="left"/>
            </w:pPr>
            <w:r>
              <w:rPr>
                <w:rFonts w:ascii="Aptos" w:hAnsi="Aptos" w:eastAsia="微软雅黑"/>
                <w:b/>
                <w:color w:val="FFFFFF"/>
                <w:sz w:val="18"/>
              </w:rPr>
              <w:t>预算状态</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41C7C682">
            <w:pPr>
              <w:keepNext/>
              <w:keepLines/>
              <w:jc w:val="left"/>
            </w:pPr>
            <w:r>
              <w:rPr>
                <w:rFonts w:ascii="Aptos" w:hAnsi="Aptos" w:eastAsia="微软雅黑"/>
                <w:b/>
                <w:color w:val="FFFFFF"/>
                <w:sz w:val="18"/>
              </w:rPr>
              <w:t>含义</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C2EF9BE">
            <w:pPr>
              <w:keepNext/>
              <w:keepLines/>
              <w:jc w:val="left"/>
            </w:pPr>
            <w:r>
              <w:rPr>
                <w:rFonts w:ascii="Aptos" w:hAnsi="Aptos" w:eastAsia="微软雅黑"/>
                <w:b/>
                <w:color w:val="FFFFFF"/>
                <w:sz w:val="18"/>
              </w:rPr>
              <w:t>金额处理</w:t>
            </w:r>
          </w:p>
        </w:tc>
      </w:tr>
      <w:tr w14:paraId="3D82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F6D67E4">
            <w:pPr>
              <w:keepNext/>
              <w:keepLines/>
              <w:spacing w:line="259" w:lineRule="auto"/>
            </w:pPr>
            <w:r>
              <w:rPr>
                <w:rFonts w:ascii="Aptos" w:hAnsi="Aptos" w:eastAsia="微软雅黑"/>
                <w:color w:val="000000"/>
                <w:sz w:val="21"/>
              </w:rPr>
              <w:t>未占用</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D84810B">
            <w:pPr>
              <w:keepNext/>
              <w:keepLines/>
              <w:spacing w:line="259" w:lineRule="auto"/>
            </w:pPr>
            <w:r>
              <w:rPr>
                <w:rFonts w:ascii="Aptos" w:hAnsi="Aptos" w:eastAsia="微软雅黑"/>
                <w:color w:val="000000"/>
                <w:sz w:val="21"/>
              </w:rPr>
              <w:t>单据仍是草稿、未正式提交，或没有有效预算分摊。</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A22FE10">
            <w:pPr>
              <w:keepNext/>
              <w:keepLines/>
              <w:spacing w:line="259" w:lineRule="auto"/>
            </w:pPr>
            <w:r>
              <w:rPr>
                <w:rFonts w:ascii="Aptos" w:hAnsi="Aptos" w:eastAsia="微软雅黑"/>
                <w:color w:val="000000"/>
                <w:sz w:val="21"/>
              </w:rPr>
              <w:t>不进入冻结和已使用汇总，不扣减可用额度。</w:t>
            </w:r>
          </w:p>
        </w:tc>
      </w:tr>
      <w:tr w14:paraId="167BD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E51FC2E">
            <w:pPr>
              <w:keepNext/>
              <w:keepLines/>
              <w:spacing w:line="259" w:lineRule="auto"/>
            </w:pPr>
            <w:r>
              <w:rPr>
                <w:rFonts w:ascii="Aptos" w:hAnsi="Aptos" w:eastAsia="微软雅黑"/>
                <w:color w:val="000000"/>
                <w:sz w:val="21"/>
              </w:rPr>
              <w:t>冻结中</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8A0B5F2">
            <w:pPr>
              <w:keepNext/>
              <w:keepLines/>
              <w:spacing w:line="259" w:lineRule="auto"/>
            </w:pPr>
            <w:r>
              <w:rPr>
                <w:rFonts w:ascii="Aptos" w:hAnsi="Aptos" w:eastAsia="微软雅黑"/>
                <w:color w:val="000000"/>
                <w:sz w:val="21"/>
              </w:rPr>
              <w:t>单据正式提交成功，预算服务已形成有效冻结；尚未满足对应实际确认事件的审批中、待财务审核、待支付或支付失败金额继续冻结。</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720AB42">
            <w:pPr>
              <w:keepNext/>
              <w:keepLines/>
              <w:spacing w:line="259" w:lineRule="auto"/>
            </w:pPr>
            <w:r>
              <w:rPr>
                <w:rFonts w:ascii="Aptos" w:hAnsi="Aptos" w:eastAsia="微软雅黑"/>
                <w:color w:val="000000"/>
                <w:sz w:val="21"/>
              </w:rPr>
              <w:t>计入当前有效冻结，扣减可用额度；同一有效分摊不重复冻结。</w:t>
            </w:r>
          </w:p>
        </w:tc>
      </w:tr>
      <w:tr w14:paraId="7C94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11835B7">
            <w:pPr>
              <w:keepNext/>
              <w:keepLines/>
              <w:spacing w:line="259" w:lineRule="auto"/>
            </w:pPr>
            <w:r>
              <w:rPr>
                <w:rFonts w:ascii="Aptos" w:hAnsi="Aptos" w:eastAsia="微软雅黑"/>
                <w:color w:val="000000"/>
                <w:sz w:val="21"/>
              </w:rPr>
              <w:t>已使用</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08AD2E4">
            <w:pPr>
              <w:keepNext/>
              <w:keepLines/>
              <w:spacing w:line="259" w:lineRule="auto"/>
            </w:pPr>
            <w:r>
              <w:rPr>
                <w:rFonts w:ascii="Aptos" w:hAnsi="Aptos" w:eastAsia="微软雅黑"/>
                <w:color w:val="000000"/>
                <w:sz w:val="21"/>
              </w:rPr>
              <w:t>整单有效预算金额已发生确认使用事件，所有分摊行同步转换。</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04B02C3">
            <w:pPr>
              <w:keepNext/>
              <w:keepLines/>
              <w:spacing w:line="259" w:lineRule="auto"/>
            </w:pPr>
            <w:r>
              <w:rPr>
                <w:rFonts w:ascii="Aptos" w:hAnsi="Aptos" w:eastAsia="微软雅黑"/>
                <w:color w:val="000000"/>
                <w:sz w:val="21"/>
              </w:rPr>
              <w:t>本单当前冻结归零、已使用增加同额，可用额度不因这次转换变化。</w:t>
            </w:r>
          </w:p>
        </w:tc>
      </w:tr>
      <w:tr w14:paraId="1A4C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83564D6">
            <w:pPr>
              <w:keepNext w:val="0"/>
              <w:keepLines/>
              <w:spacing w:line="259" w:lineRule="auto"/>
            </w:pPr>
            <w:r>
              <w:rPr>
                <w:rFonts w:ascii="Aptos" w:hAnsi="Aptos" w:eastAsia="微软雅黑"/>
                <w:color w:val="000000"/>
                <w:sz w:val="21"/>
              </w:rPr>
              <w:t>已释放</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9F1E5B4">
            <w:pPr>
              <w:keepNext w:val="0"/>
              <w:keepLines/>
              <w:spacing w:line="259" w:lineRule="auto"/>
            </w:pPr>
            <w:r>
              <w:rPr>
                <w:rFonts w:ascii="Aptos" w:hAnsi="Aptos" w:eastAsia="微软雅黑"/>
                <w:color w:val="000000"/>
                <w:sz w:val="21"/>
              </w:rPr>
              <w:t>未转为已使用的冻结因驳回／退回修改、撤回、作废或取消成功而释放。</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A473320">
            <w:pPr>
              <w:keepNext w:val="0"/>
              <w:keepLines/>
              <w:spacing w:line="259" w:lineRule="auto"/>
            </w:pPr>
            <w:r>
              <w:rPr>
                <w:rFonts w:ascii="Aptos" w:hAnsi="Aptos" w:eastAsia="微软雅黑"/>
                <w:color w:val="000000"/>
                <w:sz w:val="21"/>
              </w:rPr>
              <w:t>当前冻结减少，可用额度恢复；已经使用的金额不能按释放处理。</w:t>
            </w:r>
          </w:p>
        </w:tc>
      </w:tr>
    </w:tbl>
    <w:p w14:paraId="35637F45">
      <w:pPr>
        <w:pStyle w:val="4"/>
        <w:pageBreakBefore/>
      </w:pPr>
      <w:r>
        <w:rPr>
          <w:rFonts w:hint="eastAsia" w:eastAsia="宋体"/>
          <w:color w:val="000000"/>
          <w:lang w:val="en-US" w:eastAsia="zh-CN"/>
        </w:rPr>
        <w:t>2</w:t>
      </w:r>
      <w:r>
        <w:rPr>
          <w:color w:val="000000"/>
        </w:rPr>
        <w:t>.2 主状态流转图</w:t>
      </w:r>
    </w:p>
    <w:p w14:paraId="2483D512">
      <w:pPr>
        <w:spacing w:line="283" w:lineRule="auto"/>
      </w:pPr>
      <w:r>
        <w:rPr>
          <w:rFonts w:ascii="Aptos" w:hAnsi="Aptos" w:eastAsia="微软雅黑"/>
          <w:color w:val="000000"/>
          <w:sz w:val="21"/>
        </w:rPr>
        <w:t>下图按申请提交、业务审批、财务审批和使用结果分阶段展示，主路径对应支付成功后转已使用的 12 类单据：财务审批通过后仍保持冻结，支付成功后整单转为已使用。内部调账单、费用记账单按图中单独标注的已确认节点转换，详见下一节。未配置独立财务审批环节时按实际流程执行。箭头表示业务推进，预算处理写在对应节点内。</w:t>
      </w:r>
    </w:p>
    <w:p w14:paraId="2D224E41">
      <w:pPr>
        <w:keepNext/>
        <w:spacing w:after="60"/>
        <w:jc w:val="center"/>
      </w:pPr>
      <w:r>
        <w:drawing>
          <wp:inline distT="0" distB="0" distL="114300" distR="114300">
            <wp:extent cx="5975985" cy="6731635"/>
            <wp:effectExtent l="0" t="0" r="13335" b="4445"/>
            <wp:docPr id="1" name="Picture 1" descr="图 1 预算状态流转与业务财务审批分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1 预算状态流转与业务财务审批分段图"/>
                    <pic:cNvPicPr>
                      <a:picLocks noChangeAspect="1"/>
                    </pic:cNvPicPr>
                  </pic:nvPicPr>
                  <pic:blipFill>
                    <a:blip r:embed="rId8"/>
                    <a:stretch>
                      <a:fillRect/>
                    </a:stretch>
                  </pic:blipFill>
                  <pic:spPr>
                    <a:xfrm>
                      <a:off x="0" y="0"/>
                      <a:ext cx="5976000" cy="6732000"/>
                    </a:xfrm>
                    <a:prstGeom prst="rect">
                      <a:avLst/>
                    </a:prstGeom>
                  </pic:spPr>
                </pic:pic>
              </a:graphicData>
            </a:graphic>
          </wp:inline>
        </w:drawing>
      </w:r>
    </w:p>
    <w:p w14:paraId="12737266">
      <w:pPr>
        <w:spacing w:after="140"/>
        <w:jc w:val="center"/>
      </w:pPr>
      <w:r>
        <w:rPr>
          <w:rFonts w:ascii="Aptos" w:hAnsi="Aptos" w:eastAsia="微软雅黑"/>
          <w:color w:val="4B5563"/>
          <w:sz w:val="18"/>
        </w:rPr>
        <w:t>图 1 预算状态流转与业务财务审批分段图</w:t>
      </w:r>
    </w:p>
    <w:p w14:paraId="1E9B9862">
      <w:pPr>
        <w:pStyle w:val="4"/>
        <w:pageBreakBefore w:val="0"/>
      </w:pPr>
      <w:r>
        <w:rPr>
          <w:rFonts w:hint="eastAsia" w:eastAsia="宋体"/>
          <w:color w:val="000000"/>
          <w:lang w:val="en-US" w:eastAsia="zh-CN"/>
        </w:rPr>
        <w:t>2</w:t>
      </w:r>
      <w:r>
        <w:rPr>
          <w:color w:val="000000"/>
        </w:rPr>
        <w:t>.3 审批阶段与预算处理</w:t>
      </w:r>
    </w:p>
    <w:p w14:paraId="755ED513">
      <w:pPr>
        <w:spacing w:line="283" w:lineRule="auto"/>
      </w:pPr>
      <w:r>
        <w:rPr>
          <w:rFonts w:ascii="Aptos" w:hAnsi="Aptos" w:eastAsia="微软雅黑"/>
          <w:color w:val="000000"/>
          <w:sz w:val="21"/>
        </w:rPr>
        <w:t>业务审批与财务审批必须分别取数和展示。业务节点同意、转审、加签仅推进流程；业务审批全部通过后，存在独立财务环节的单据进入待财务审批。财务审批中继续冻结；内部调账单以财务确认成功、费用记账单以整条流程审批通过为转换节点，其余 12 类单据以支付成功为转换节点。冻结、释放及转已使用的业务规则均已确认，研发按现有接口契约实施映射和联调。</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061"/>
        <w:gridCol w:w="4932"/>
      </w:tblGrid>
      <w:tr w14:paraId="7756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39C085F3">
            <w:pPr>
              <w:keepNext/>
              <w:jc w:val="left"/>
            </w:pPr>
            <w:r>
              <w:rPr>
                <w:rFonts w:ascii="Aptos" w:hAnsi="Aptos" w:eastAsia="微软雅黑"/>
                <w:b/>
                <w:color w:val="FFFFFF"/>
                <w:sz w:val="18"/>
              </w:rPr>
              <w:t>阶段</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62DE19C">
            <w:pPr>
              <w:keepNext/>
              <w:jc w:val="left"/>
            </w:pPr>
            <w:r>
              <w:rPr>
                <w:rFonts w:ascii="Aptos" w:hAnsi="Aptos" w:eastAsia="微软雅黑"/>
                <w:b/>
                <w:color w:val="FFFFFF"/>
                <w:sz w:val="18"/>
              </w:rPr>
              <w:t>业务状态或事件</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483C571">
            <w:pPr>
              <w:keepNext/>
              <w:jc w:val="left"/>
            </w:pPr>
            <w:r>
              <w:rPr>
                <w:rFonts w:ascii="Aptos" w:hAnsi="Aptos" w:eastAsia="微软雅黑"/>
                <w:b/>
                <w:color w:val="FFFFFF"/>
                <w:sz w:val="18"/>
              </w:rPr>
              <w:t>预算处理</w:t>
            </w:r>
          </w:p>
        </w:tc>
      </w:tr>
      <w:tr w14:paraId="2E17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C4815D9">
            <w:pPr>
              <w:spacing w:line="259" w:lineRule="auto"/>
            </w:pPr>
            <w:r>
              <w:rPr>
                <w:rFonts w:ascii="Aptos" w:hAnsi="Aptos" w:eastAsia="微软雅黑"/>
                <w:color w:val="000000"/>
                <w:sz w:val="21"/>
              </w:rPr>
              <w:t>申请提交</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8F1E4B6">
            <w:pPr>
              <w:spacing w:line="259" w:lineRule="auto"/>
            </w:pPr>
            <w:r>
              <w:rPr>
                <w:rFonts w:ascii="Aptos" w:hAnsi="Aptos" w:eastAsia="微软雅黑"/>
                <w:color w:val="000000"/>
                <w:sz w:val="21"/>
              </w:rPr>
              <w:t>草稿；正式提交校验通过且占用成功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BC21CA4">
            <w:pPr>
              <w:spacing w:line="259" w:lineRule="auto"/>
            </w:pPr>
            <w:r>
              <w:rPr>
                <w:rFonts w:ascii="Aptos" w:hAnsi="Aptos" w:eastAsia="微软雅黑"/>
                <w:color w:val="000000"/>
                <w:sz w:val="21"/>
              </w:rPr>
              <w:t>草稿不占用；正式提交成功后形成冻结并进入待审批。</w:t>
            </w:r>
          </w:p>
        </w:tc>
      </w:tr>
      <w:tr w14:paraId="7CDC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EFC8538">
            <w:pPr>
              <w:spacing w:line="259" w:lineRule="auto"/>
            </w:pPr>
            <w:r>
              <w:rPr>
                <w:rFonts w:ascii="Aptos" w:hAnsi="Aptos" w:eastAsia="微软雅黑"/>
                <w:color w:val="000000"/>
                <w:sz w:val="21"/>
              </w:rPr>
              <w:t>业务审批</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952B8D9">
            <w:pPr>
              <w:spacing w:line="259" w:lineRule="auto"/>
            </w:pPr>
            <w:r>
              <w:rPr>
                <w:rFonts w:ascii="Aptos" w:hAnsi="Aptos" w:eastAsia="微软雅黑"/>
                <w:color w:val="000000"/>
                <w:sz w:val="21"/>
              </w:rPr>
              <w:t>待业务审批、业务审批中、节点同意、转审、加签</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F79F9D5">
            <w:pPr>
              <w:spacing w:line="259" w:lineRule="auto"/>
            </w:pPr>
            <w:r>
              <w:rPr>
                <w:rFonts w:ascii="Aptos" w:hAnsi="Aptos" w:eastAsia="微软雅黑"/>
                <w:color w:val="000000"/>
                <w:sz w:val="21"/>
              </w:rPr>
              <w:t>保持有效冻结，不转已使用、不重复冻结。业务审批通过后进入后续财务环节。</w:t>
            </w:r>
          </w:p>
        </w:tc>
      </w:tr>
      <w:tr w14:paraId="180D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D9A420B">
            <w:pPr>
              <w:spacing w:line="259" w:lineRule="auto"/>
            </w:pPr>
            <w:r>
              <w:rPr>
                <w:rFonts w:ascii="Aptos" w:hAnsi="Aptos" w:eastAsia="微软雅黑"/>
                <w:color w:val="000000"/>
                <w:sz w:val="21"/>
              </w:rPr>
              <w:t>财务审批</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4A570BC">
            <w:pPr>
              <w:spacing w:line="259" w:lineRule="auto"/>
            </w:pPr>
            <w:r>
              <w:rPr>
                <w:rFonts w:ascii="Aptos" w:hAnsi="Aptos" w:eastAsia="微软雅黑"/>
                <w:color w:val="000000"/>
                <w:sz w:val="21"/>
              </w:rPr>
              <w:t>待财务审批、财务审批中</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49311A0">
            <w:pPr>
              <w:spacing w:line="259" w:lineRule="auto"/>
            </w:pPr>
            <w:r>
              <w:rPr>
                <w:rFonts w:ascii="Aptos" w:hAnsi="Aptos" w:eastAsia="微软雅黑"/>
                <w:color w:val="000000"/>
                <w:sz w:val="21"/>
              </w:rPr>
              <w:t>保持有效冻结。不能仅因进入财务阶段或有人审单就转换实际。</w:t>
            </w:r>
          </w:p>
        </w:tc>
      </w:tr>
      <w:tr w14:paraId="3257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70F3588">
            <w:pPr>
              <w:spacing w:line="259" w:lineRule="auto"/>
            </w:pPr>
            <w:r>
              <w:rPr>
                <w:rFonts w:ascii="Aptos" w:hAnsi="Aptos" w:eastAsia="微软雅黑"/>
                <w:color w:val="000000"/>
                <w:sz w:val="21"/>
              </w:rPr>
              <w:t>实际确认</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8FA0844">
            <w:pPr>
              <w:spacing w:line="259" w:lineRule="auto"/>
            </w:pPr>
            <w:r>
              <w:rPr>
                <w:rFonts w:ascii="Aptos" w:hAnsi="Aptos" w:eastAsia="微软雅黑"/>
                <w:color w:val="000000"/>
                <w:sz w:val="21"/>
              </w:rPr>
              <w:t>内部调账单财务确认成功；费用记账单整条流程审批通过；其余 12 类支付成功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0A18088">
            <w:pPr>
              <w:spacing w:line="259" w:lineRule="auto"/>
            </w:pPr>
            <w:r>
              <w:rPr>
                <w:rFonts w:ascii="Aptos" w:hAnsi="Aptos" w:eastAsia="微软雅黑"/>
                <w:color w:val="000000"/>
                <w:sz w:val="21"/>
              </w:rPr>
              <w:t>在对应节点将整单全部有效预算金额一次性由冻结转为已使用；所有分摊行同步转换。</w:t>
            </w:r>
          </w:p>
        </w:tc>
      </w:tr>
      <w:tr w14:paraId="38FC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0EC4D71">
            <w:pPr>
              <w:spacing w:line="259" w:lineRule="auto"/>
            </w:pPr>
            <w:r>
              <w:rPr>
                <w:rFonts w:ascii="Aptos" w:hAnsi="Aptos" w:eastAsia="微软雅黑"/>
                <w:color w:val="000000"/>
                <w:sz w:val="21"/>
              </w:rPr>
              <w:t>驳回及终止释放</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E9C9ECE">
            <w:pPr>
              <w:spacing w:line="259" w:lineRule="auto"/>
            </w:pPr>
            <w:r>
              <w:rPr>
                <w:rFonts w:ascii="Aptos" w:hAnsi="Aptos" w:eastAsia="微软雅黑"/>
                <w:color w:val="000000"/>
                <w:sz w:val="21"/>
              </w:rPr>
              <w:t>业务或财务驳回／退回修改、撤回、作废、取消成功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93CEDFE">
            <w:pPr>
              <w:spacing w:line="259" w:lineRule="auto"/>
            </w:pPr>
            <w:r>
              <w:rPr>
                <w:rFonts w:ascii="Aptos" w:hAnsi="Aptos" w:eastAsia="微软雅黑"/>
                <w:color w:val="000000"/>
                <w:sz w:val="21"/>
              </w:rPr>
              <w:t>冻结中的单据全额释放有效冻结；修改或保存草稿不冻结，重新提交成功按新版本重新校验并冻结。已使用单据不能通过释放冻结恢复额度。</w:t>
            </w:r>
          </w:p>
        </w:tc>
      </w:tr>
    </w:tbl>
    <w:p w14:paraId="622B7E69">
      <w:pPr>
        <w:spacing w:line="283" w:lineRule="auto"/>
      </w:pPr>
      <w:r>
        <w:rPr>
          <w:rFonts w:ascii="Aptos" w:hAnsi="Aptos" w:eastAsia="微软雅黑"/>
          <w:b/>
          <w:color w:val="000000"/>
          <w:sz w:val="21"/>
        </w:rPr>
        <w:t>三类已确认路径</w:t>
      </w:r>
    </w:p>
    <w:p w14:paraId="2DB2FDFE">
      <w:pPr>
        <w:pStyle w:val="16"/>
        <w:keepLines/>
        <w:spacing w:after="40"/>
        <w:ind w:left="312" w:hanging="142"/>
      </w:pPr>
      <w:r>
        <w:rPr>
          <w:rFonts w:ascii="Aptos" w:hAnsi="Aptos" w:eastAsia="微软雅黑"/>
          <w:color w:val="000000"/>
          <w:sz w:val="21"/>
        </w:rPr>
        <w:t>内部调账单：草稿不占用 → 正式提交成功冻结 → 业务审批及后续流转保持冻结 → 财务确认成功 → 同额转为已使用。财务审批通过只有在同时代表财务确认成功时才触发转换，不能把两个事件直接等同。</w:t>
      </w:r>
    </w:p>
    <w:p w14:paraId="7497A827">
      <w:pPr>
        <w:pStyle w:val="16"/>
        <w:keepLines/>
        <w:spacing w:after="40"/>
        <w:ind w:left="312" w:hanging="142"/>
      </w:pPr>
      <w:r>
        <w:rPr>
          <w:rFonts w:ascii="Aptos" w:hAnsi="Aptos" w:eastAsia="微软雅黑"/>
          <w:color w:val="000000"/>
          <w:sz w:val="21"/>
        </w:rPr>
        <w:t>费用记账单：草稿不占用 → 正式提交成功冻结 → 按配置的流程审批并保持冻结 → 整条流程审批通过 → 同额转为已使用。若流程已包含财务节点，该节点属于流程的一部分；若未配置独立财务节点，不额外增加等待财务确认、记账或支付的条件。</w:t>
      </w:r>
    </w:p>
    <w:p w14:paraId="5E061B61">
      <w:pPr>
        <w:pStyle w:val="16"/>
        <w:keepLines/>
        <w:spacing w:after="40"/>
        <w:ind w:left="312" w:hanging="142"/>
      </w:pPr>
      <w:r>
        <w:rPr>
          <w:rFonts w:ascii="Aptos" w:hAnsi="Aptos" w:eastAsia="微软雅黑"/>
          <w:color w:val="000000"/>
          <w:sz w:val="21"/>
        </w:rPr>
        <w:t>其余 12 类单据</w:t>
      </w:r>
      <w:r>
        <w:rPr>
          <w:rFonts w:hint="eastAsia"/>
          <w:color w:val="000000"/>
          <w:sz w:val="21"/>
          <w:lang w:eastAsia="zh-CN"/>
        </w:rPr>
        <w:t>（</w:t>
      </w:r>
      <w:r>
        <w:rPr>
          <w:rFonts w:ascii="Aptos" w:hAnsi="Aptos" w:eastAsia="微软雅黑"/>
          <w:color w:val="000000"/>
          <w:sz w:val="21"/>
        </w:rPr>
        <w:t>报销申请</w:t>
      </w:r>
      <w:r>
        <w:rPr>
          <w:rFonts w:hint="eastAsia"/>
          <w:color w:val="000000"/>
          <w:sz w:val="21"/>
          <w:lang w:val="en-US" w:eastAsia="zh-CN"/>
        </w:rPr>
        <w:t>/付款申请/</w:t>
      </w:r>
      <w:r>
        <w:rPr>
          <w:rFonts w:ascii="Aptos" w:hAnsi="Aptos" w:eastAsia="微软雅黑"/>
          <w:color w:val="000000"/>
          <w:sz w:val="21"/>
        </w:rPr>
        <w:t>出差报销单</w:t>
      </w:r>
      <w:r>
        <w:rPr>
          <w:rFonts w:hint="eastAsia"/>
          <w:color w:val="000000"/>
          <w:sz w:val="21"/>
          <w:lang w:val="en-US" w:eastAsia="zh-CN"/>
        </w:rPr>
        <w:t>/</w:t>
      </w:r>
      <w:r>
        <w:rPr>
          <w:rFonts w:ascii="Aptos" w:hAnsi="Aptos" w:eastAsia="微软雅黑"/>
          <w:color w:val="000000"/>
          <w:sz w:val="21"/>
        </w:rPr>
        <w:t>付款单</w:t>
      </w:r>
      <w:r>
        <w:rPr>
          <w:rFonts w:hint="eastAsia"/>
          <w:color w:val="000000"/>
          <w:sz w:val="21"/>
          <w:lang w:val="en-US" w:eastAsia="zh-CN"/>
        </w:rPr>
        <w:t>/</w:t>
      </w:r>
      <w:r>
        <w:rPr>
          <w:rFonts w:ascii="Aptos" w:hAnsi="Aptos" w:eastAsia="微软雅黑"/>
          <w:color w:val="000000"/>
          <w:sz w:val="21"/>
        </w:rPr>
        <w:t>项目付款单</w:t>
      </w:r>
      <w:r>
        <w:rPr>
          <w:rFonts w:hint="eastAsia"/>
          <w:color w:val="000000"/>
          <w:sz w:val="21"/>
          <w:lang w:val="en-US" w:eastAsia="zh-CN"/>
        </w:rPr>
        <w:t>/</w:t>
      </w:r>
      <w:r>
        <w:rPr>
          <w:rFonts w:ascii="Aptos" w:hAnsi="Aptos" w:eastAsia="微软雅黑"/>
          <w:color w:val="000000"/>
          <w:sz w:val="21"/>
        </w:rPr>
        <w:t>多项目付款单</w:t>
      </w:r>
      <w:r>
        <w:rPr>
          <w:rFonts w:hint="eastAsia"/>
          <w:color w:val="000000"/>
          <w:sz w:val="21"/>
          <w:lang w:val="en-US" w:eastAsia="zh-CN"/>
        </w:rPr>
        <w:t>/</w:t>
      </w:r>
      <w:r>
        <w:rPr>
          <w:rFonts w:ascii="Aptos" w:hAnsi="Aptos" w:eastAsia="微软雅黑"/>
          <w:color w:val="000000"/>
          <w:sz w:val="21"/>
        </w:rPr>
        <w:t>固定资产付款单</w:t>
      </w:r>
      <w:r>
        <w:rPr>
          <w:rFonts w:hint="eastAsia"/>
          <w:color w:val="000000"/>
          <w:sz w:val="21"/>
          <w:lang w:val="en-US" w:eastAsia="zh-CN"/>
        </w:rPr>
        <w:t>/</w:t>
      </w:r>
      <w:r>
        <w:rPr>
          <w:rFonts w:ascii="Aptos" w:hAnsi="Aptos" w:eastAsia="微软雅黑"/>
          <w:color w:val="000000"/>
          <w:sz w:val="21"/>
        </w:rPr>
        <w:t>报销单</w:t>
      </w:r>
      <w:r>
        <w:rPr>
          <w:rFonts w:hint="eastAsia"/>
          <w:color w:val="000000"/>
          <w:sz w:val="21"/>
          <w:lang w:val="en-US" w:eastAsia="zh-CN"/>
        </w:rPr>
        <w:t>/</w:t>
      </w:r>
      <w:r>
        <w:rPr>
          <w:rFonts w:ascii="Aptos" w:hAnsi="Aptos" w:eastAsia="微软雅黑"/>
          <w:color w:val="000000"/>
          <w:sz w:val="21"/>
        </w:rPr>
        <w:t>项目报销单</w:t>
      </w:r>
      <w:r>
        <w:rPr>
          <w:rFonts w:hint="eastAsia"/>
          <w:color w:val="000000"/>
          <w:sz w:val="21"/>
          <w:lang w:val="en-US" w:eastAsia="zh-CN"/>
        </w:rPr>
        <w:t>/</w:t>
      </w:r>
      <w:r>
        <w:rPr>
          <w:rFonts w:ascii="Aptos" w:hAnsi="Aptos" w:eastAsia="微软雅黑"/>
          <w:color w:val="000000"/>
          <w:sz w:val="21"/>
        </w:rPr>
        <w:t>多项目报销单</w:t>
      </w:r>
      <w:r>
        <w:rPr>
          <w:rFonts w:hint="eastAsia"/>
          <w:color w:val="000000"/>
          <w:sz w:val="21"/>
          <w:lang w:val="en-US" w:eastAsia="zh-CN"/>
        </w:rPr>
        <w:t>/</w:t>
      </w:r>
      <w:r>
        <w:rPr>
          <w:rFonts w:ascii="Aptos" w:hAnsi="Aptos" w:eastAsia="微软雅黑"/>
          <w:color w:val="000000"/>
          <w:sz w:val="21"/>
        </w:rPr>
        <w:t>固定资产报销单</w:t>
      </w:r>
      <w:r>
        <w:rPr>
          <w:rFonts w:hint="eastAsia"/>
          <w:color w:val="000000"/>
          <w:sz w:val="21"/>
          <w:lang w:val="en-US" w:eastAsia="zh-CN"/>
        </w:rPr>
        <w:t>/</w:t>
      </w:r>
      <w:r>
        <w:rPr>
          <w:rFonts w:ascii="Aptos" w:hAnsi="Aptos" w:eastAsia="微软雅黑"/>
          <w:color w:val="000000"/>
          <w:sz w:val="21"/>
        </w:rPr>
        <w:t>入企报销单</w:t>
      </w:r>
      <w:r>
        <w:rPr>
          <w:rFonts w:hint="eastAsia"/>
          <w:color w:val="000000"/>
          <w:sz w:val="21"/>
          <w:lang w:eastAsia="zh-CN"/>
        </w:rPr>
        <w:t>）</w:t>
      </w:r>
      <w:r>
        <w:rPr>
          <w:rFonts w:ascii="Aptos" w:hAnsi="Aptos" w:eastAsia="微软雅黑"/>
          <w:color w:val="000000"/>
          <w:sz w:val="21"/>
        </w:rPr>
        <w:t>：草稿不占用 → 正式提交成功冻结 → 业务审批、财务审批及待支付期间保持冻结 → 支付成功 → 整单同额转为已使用。支付处理中、失败或结果未知时，保持当前有效冻结；重复支付成功通知不重复转换。</w:t>
      </w:r>
    </w:p>
    <w:p w14:paraId="3F8E6C29">
      <w:pPr>
        <w:pStyle w:val="4"/>
      </w:pPr>
      <w:r>
        <w:rPr>
          <w:rFonts w:ascii="Aptos" w:hAnsi="Aptos" w:eastAsia="微软雅黑"/>
          <w:color w:val="000000"/>
          <w:sz w:val="26"/>
        </w:rPr>
        <w:t>2.4 金额关系和查询前提</w:t>
      </w:r>
    </w:p>
    <w:p w14:paraId="03279E00">
      <w:pPr>
        <w:spacing w:line="283" w:lineRule="auto"/>
      </w:pPr>
      <w:r>
        <w:rPr>
          <w:rFonts w:ascii="Aptos" w:hAnsi="Aptos" w:eastAsia="微软雅黑"/>
          <w:color w:val="000000"/>
          <w:sz w:val="21"/>
        </w:rPr>
        <w:t>申请端当前可用余额的计算口径已确认：先根据预算管控方式确定科目池和期间，再计算 当前可用余额 = 范围预算 - 范围实际值 - 范围冻结金额。实际值即已使用净额，冻结金额即当前有效冻结；预算执行端采用相同口径，不能在申请端已返回的可用余额上再次扣减冻结。四种管控方式的范围见 3.6。</w:t>
      </w:r>
    </w:p>
    <w:p w14:paraId="75F4E541">
      <w:pPr>
        <w:spacing w:line="283" w:lineRule="auto"/>
      </w:pPr>
      <w:r>
        <w:rPr>
          <w:rFonts w:ascii="Aptos" w:hAnsi="Aptos" w:eastAsia="微软雅黑"/>
          <w:color w:val="000000"/>
          <w:sz w:val="21"/>
        </w:rPr>
        <w:t>冻结转为已使用时，冻结减少同额、实际增加同额、可用余额不变；未使用冻结释放时，冻结减少、可用余额增加；退款或冲销按现行反向业务规则形成负向实际，不能直接删除原流水。</w:t>
      </w:r>
    </w:p>
    <w:p w14:paraId="604CC1FD">
      <w:pPr>
        <w:pStyle w:val="16"/>
        <w:keepLines/>
        <w:spacing w:after="40"/>
        <w:ind w:left="312" w:hanging="142"/>
      </w:pPr>
      <w:r>
        <w:rPr>
          <w:rFonts w:ascii="Aptos" w:hAnsi="Aptos" w:eastAsia="微软雅黑"/>
          <w:color w:val="000000"/>
          <w:sz w:val="21"/>
        </w:rPr>
        <w:t>冻结明细只展示当前有效冻结金额大于 0 的预算分摊记录；全部释放或全部转实际后退出冻结列表，历史事件仍需可审计。</w:t>
      </w:r>
    </w:p>
    <w:p w14:paraId="59D0F402">
      <w:pPr>
        <w:pStyle w:val="16"/>
        <w:keepLines/>
        <w:spacing w:after="40"/>
        <w:ind w:left="312" w:hanging="142"/>
      </w:pPr>
      <w:r>
        <w:rPr>
          <w:rFonts w:ascii="Aptos" w:hAnsi="Aptos" w:eastAsia="微软雅黑"/>
          <w:color w:val="000000"/>
          <w:sz w:val="21"/>
        </w:rPr>
        <w:t>已使用明细只展示已成功确认的使用流水及有效反向流水；人工导入按既有导入确认规则直接进入实际，不伪造冻结。</w:t>
      </w:r>
    </w:p>
    <w:p w14:paraId="028F1FE8">
      <w:pPr>
        <w:pStyle w:val="16"/>
        <w:keepLines/>
        <w:spacing w:after="40"/>
        <w:ind w:left="312" w:hanging="142"/>
      </w:pPr>
      <w:r>
        <w:rPr>
          <w:rFonts w:ascii="Aptos" w:hAnsi="Aptos" w:eastAsia="微软雅黑"/>
          <w:color w:val="000000"/>
          <w:sz w:val="21"/>
        </w:rPr>
        <w:t>单据状态、预算状态和实际确认事件分别取数。同一单据提交版本在冻结明细与已使用明细中互斥：整单转换前查冻结，转换后查已使用，不能同时计入两处。</w:t>
      </w:r>
    </w:p>
    <w:p w14:paraId="5354CEF2">
      <w:pPr>
        <w:pStyle w:val="16"/>
        <w:keepLines/>
        <w:spacing w:after="40"/>
        <w:ind w:left="312" w:hanging="142"/>
      </w:pPr>
      <w:r>
        <w:rPr>
          <w:rFonts w:ascii="Aptos" w:hAnsi="Aptos" w:eastAsia="微软雅黑"/>
          <w:color w:val="000000"/>
          <w:sz w:val="21"/>
        </w:rPr>
        <w:t>查询、筛选、导出和打开原单只读取现有业务服务结果，不触发冻结、释放或转已使用。</w:t>
      </w:r>
    </w:p>
    <w:p w14:paraId="6AC0198F">
      <w:pPr>
        <w:pStyle w:val="3"/>
      </w:pPr>
      <w:bookmarkStart w:id="4" w:name="_Toc16193"/>
      <w:r>
        <w:rPr>
          <w:rFonts w:ascii="Aptos" w:hAnsi="Aptos" w:eastAsia="微软雅黑"/>
          <w:color w:val="000000"/>
          <w:sz w:val="32"/>
        </w:rPr>
        <w:t>3. 页面需求</w:t>
      </w:r>
      <w:bookmarkEnd w:id="4"/>
    </w:p>
    <w:p w14:paraId="5701060F">
      <w:pPr>
        <w:pStyle w:val="4"/>
      </w:pPr>
      <w:r>
        <w:rPr>
          <w:rFonts w:ascii="Aptos" w:hAnsi="Aptos" w:eastAsia="微软雅黑"/>
          <w:color w:val="000000"/>
          <w:sz w:val="26"/>
        </w:rPr>
        <w:t>3.1 P01 财务预算概览</w:t>
      </w:r>
    </w:p>
    <w:p w14:paraId="7CE47F7C">
      <w:pPr>
        <w:pStyle w:val="16"/>
        <w:keepLines/>
        <w:spacing w:after="40"/>
        <w:ind w:left="312" w:hanging="142"/>
      </w:pPr>
      <w:r>
        <w:rPr>
          <w:rFonts w:ascii="Aptos" w:hAnsi="Aptos" w:eastAsia="微软雅黑"/>
          <w:color w:val="000000"/>
          <w:sz w:val="21"/>
        </w:rPr>
        <w:t>操作保留“预算”“预测”，将“实际”入口改为“执行”。“执行”携带团队与财年打开唯一预算执行页；“预算”打开对应团队编制页签。</w:t>
      </w:r>
    </w:p>
    <w:p w14:paraId="5176A010">
      <w:pPr>
        <w:pStyle w:val="4"/>
      </w:pPr>
      <w:r>
        <w:rPr>
          <w:rFonts w:ascii="Aptos" w:hAnsi="Aptos" w:eastAsia="微软雅黑"/>
          <w:color w:val="000000"/>
          <w:sz w:val="26"/>
        </w:rPr>
        <w:t>3.2 P02 团队预算编制</w:t>
      </w:r>
    </w:p>
    <w:p w14:paraId="41CF1577">
      <w:pPr>
        <w:pStyle w:val="16"/>
        <w:keepLines/>
        <w:spacing w:after="40"/>
        <w:ind w:left="312" w:hanging="142"/>
        <w:rPr>
          <w:color w:val="000000"/>
        </w:rPr>
      </w:pPr>
      <w:r>
        <w:rPr>
          <w:rFonts w:ascii="Aptos" w:hAnsi="Aptos" w:eastAsia="微软雅黑"/>
          <w:color w:val="000000"/>
          <w:sz w:val="21"/>
        </w:rPr>
        <w:t>收支属性为“收入”的预算科目允许输入负数，覆盖预算编制、导入预算及预算调整申请；页面、导入校验和保存接口采用一致规则，保留负号。支出科目沿用原金额校验，不因本次调整放宽。</w:t>
      </w:r>
    </w:p>
    <w:p w14:paraId="4AC8D08B">
      <w:pPr>
        <w:pStyle w:val="4"/>
      </w:pPr>
      <w:r>
        <w:rPr>
          <w:rFonts w:ascii="Aptos" w:hAnsi="Aptos" w:eastAsia="微软雅黑"/>
          <w:color w:val="000000"/>
          <w:sz w:val="26"/>
        </w:rPr>
        <w:t>3.3 P03 团队预算执行</w:t>
      </w:r>
    </w:p>
    <w:p w14:paraId="3A45BEEC">
      <w:pPr>
        <w:pStyle w:val="5"/>
      </w:pPr>
      <w:r>
        <w:rPr>
          <w:color w:val="000000"/>
        </w:rPr>
        <w:t>公共筛选和展示</w:t>
      </w:r>
    </w:p>
    <w:p w14:paraId="109A035E">
      <w:pPr>
        <w:pStyle w:val="16"/>
        <w:keepLines/>
        <w:spacing w:after="40"/>
        <w:ind w:left="312" w:hanging="142"/>
      </w:pPr>
      <w:r>
        <w:rPr>
          <w:rFonts w:ascii="Aptos" w:hAnsi="Aptos" w:eastAsia="微软雅黑"/>
          <w:color w:val="000000"/>
          <w:sz w:val="21"/>
        </w:rPr>
        <w:t>只读页面。顶部展示团队、财年、金额单位、数据截至时间和刷新操作，不展示“示例”标签。</w:t>
      </w:r>
    </w:p>
    <w:p w14:paraId="5582159C">
      <w:pPr>
        <w:pStyle w:val="16"/>
        <w:keepLines/>
        <w:spacing w:after="40"/>
        <w:ind w:left="312" w:hanging="142"/>
      </w:pPr>
      <w:r>
        <w:rPr>
          <w:rFonts w:ascii="Aptos" w:hAnsi="Aptos" w:eastAsia="微软雅黑"/>
          <w:color w:val="000000"/>
          <w:sz w:val="21"/>
        </w:rPr>
        <w:t>月度和全年视图均无顶部统计卡；筛选下方直接展示执行表。</w:t>
      </w:r>
    </w:p>
    <w:p w14:paraId="256C02FE">
      <w:pPr>
        <w:pStyle w:val="16"/>
        <w:keepLines/>
        <w:spacing w:after="40"/>
        <w:ind w:left="312" w:hanging="142"/>
      </w:pPr>
      <w:r>
        <w:rPr>
          <w:rFonts w:ascii="Aptos" w:hAnsi="Aptos" w:eastAsia="微软雅黑"/>
          <w:color w:val="000000"/>
          <w:sz w:val="21"/>
        </w:rPr>
        <w:t>月份按系统配置的财年顺序展示。默认月份为当前财年的当前月；查看非当前财年时定位该财年最后一个归属月。</w:t>
      </w:r>
    </w:p>
    <w:p w14:paraId="1F496087">
      <w:pPr>
        <w:pStyle w:val="16"/>
        <w:keepLines/>
        <w:spacing w:after="40"/>
        <w:ind w:left="312" w:hanging="142"/>
      </w:pPr>
      <w:r>
        <w:rPr>
          <w:rFonts w:ascii="Aptos" w:hAnsi="Aptos" w:eastAsia="微软雅黑"/>
          <w:color w:val="000000"/>
          <w:sz w:val="21"/>
        </w:rPr>
        <w:t>科目筛选为双栏级联：一级科目列表；悬停一级或点击箭头展示其二级科目。单选圆点选择一级／二级后立即应用并关闭；输入框显示完整科目路径。“全部科目”清除筛选；外部点击或 Esc 关闭。</w:t>
      </w:r>
    </w:p>
    <w:p w14:paraId="75284640">
      <w:pPr>
        <w:pStyle w:val="16"/>
        <w:keepLines/>
        <w:spacing w:after="40"/>
        <w:ind w:left="312" w:hanging="142"/>
      </w:pPr>
      <w:r>
        <w:rPr>
          <w:rFonts w:ascii="Aptos" w:hAnsi="Aptos" w:eastAsia="微软雅黑"/>
          <w:color w:val="000000"/>
          <w:sz w:val="21"/>
        </w:rPr>
        <w:t>选一级时显示该一级及全部二级；选二级时显示其所属一级与该二级。一级行金额始终按一级完整口径展示，不随二级筛选收窄。月度、全年和导出使用同一科目范围。</w:t>
      </w:r>
    </w:p>
    <w:p w14:paraId="4F057356">
      <w:pPr>
        <w:pStyle w:val="16"/>
        <w:keepLines/>
        <w:spacing w:after="40"/>
        <w:ind w:left="312" w:hanging="142"/>
      </w:pPr>
      <w:r>
        <w:rPr>
          <w:rFonts w:ascii="Aptos" w:hAnsi="Aptos" w:eastAsia="微软雅黑"/>
          <w:color w:val="000000"/>
          <w:sz w:val="21"/>
        </w:rPr>
        <w:t>主标题“科目预算执行”右侧显示小副标题，说明本月列按所选月统计、管控可用按生效规则计算并可点击查看说明。其他备注收纳在月度管控可用额度及全年标题旁的 ⓘ 提示中，支持聚焦、悬停和点击；外部点击或 Esc 关闭。</w:t>
      </w:r>
    </w:p>
    <w:p w14:paraId="48044E12">
      <w:pPr>
        <w:pStyle w:val="16"/>
        <w:keepLines/>
        <w:spacing w:after="40"/>
        <w:ind w:left="312" w:hanging="142"/>
      </w:pPr>
      <w:r>
        <w:rPr>
          <w:rFonts w:ascii="Aptos" w:hAnsi="Aptos" w:eastAsia="微软雅黑"/>
          <w:color w:val="000000"/>
          <w:sz w:val="21"/>
        </w:rPr>
        <w:t>无预算、无规则、共享额度、0 元、不适用、无数据、加载失败分别表达；真实 0 元不可显示为“—”，无权限／失败不可伪装为 0 元。</w:t>
      </w:r>
    </w:p>
    <w:p w14:paraId="5433AC81">
      <w:pPr>
        <w:pStyle w:val="5"/>
      </w:pPr>
      <w:r>
        <w:rPr>
          <w:color w:val="000000"/>
        </w:rPr>
        <w:t>月度执行表</w:t>
      </w:r>
    </w:p>
    <w:p w14:paraId="137218FD">
      <w:pPr>
        <w:spacing w:line="283" w:lineRule="auto"/>
      </w:pPr>
      <w:r>
        <w:rPr>
          <w:rFonts w:ascii="Aptos" w:hAnsi="Aptos" w:eastAsia="微软雅黑"/>
          <w:color w:val="000000"/>
          <w:sz w:val="21"/>
        </w:rPr>
        <w:t>字段：预算科目、本月预算、本月实际、本月冻结、管控方式、管控可用额度。</w:t>
      </w:r>
    </w:p>
    <w:p w14:paraId="3202330E">
      <w:pPr>
        <w:pStyle w:val="16"/>
        <w:keepLines/>
        <w:spacing w:after="40"/>
        <w:ind w:left="312" w:hanging="142"/>
      </w:pPr>
      <w:r>
        <w:rPr>
          <w:rFonts w:ascii="Aptos" w:hAnsi="Aptos" w:eastAsia="微软雅黑"/>
          <w:color w:val="000000"/>
          <w:sz w:val="21"/>
        </w:rPr>
        <w:t>科目按一级／二级层级始终展开，标记收入／支出类型，不提供展开／收起。</w:t>
      </w:r>
    </w:p>
    <w:p w14:paraId="7E57262B">
      <w:pPr>
        <w:pStyle w:val="16"/>
        <w:keepLines/>
        <w:spacing w:after="40"/>
        <w:ind w:left="312" w:hanging="142"/>
      </w:pPr>
      <w:r>
        <w:rPr>
          <w:rFonts w:ascii="Aptos" w:hAnsi="Aptos" w:eastAsia="微软雅黑"/>
          <w:color w:val="000000"/>
          <w:sz w:val="21"/>
        </w:rPr>
        <w:t>本月预算为选中预算归属月的当前生效预算；本月实际为同科目同归属月实际净额；本月冻结为同科目同归属月当前有效冻结。实际和冻结金额支持下钻至相应明细。</w:t>
      </w:r>
    </w:p>
    <w:p w14:paraId="26D35652">
      <w:pPr>
        <w:pStyle w:val="16"/>
        <w:keepLines/>
        <w:spacing w:after="40"/>
        <w:ind w:left="312" w:hanging="142"/>
      </w:pPr>
      <w:r>
        <w:rPr>
          <w:rFonts w:ascii="Aptos" w:hAnsi="Aptos" w:eastAsia="微软雅黑"/>
          <w:color w:val="000000"/>
          <w:sz w:val="21"/>
        </w:rPr>
        <w:t>管控方式从现有配置读取，显示一级／二级及月累计／不累计。</w:t>
      </w:r>
    </w:p>
    <w:p w14:paraId="67AB35B7">
      <w:pPr>
        <w:pStyle w:val="16"/>
        <w:keepLines/>
        <w:spacing w:after="40"/>
        <w:ind w:left="312" w:hanging="142"/>
      </w:pPr>
      <w:r>
        <w:rPr>
          <w:rFonts w:ascii="Aptos" w:hAnsi="Aptos" w:eastAsia="微软雅黑"/>
          <w:color w:val="000000"/>
          <w:sz w:val="21"/>
        </w:rPr>
        <w:t>管控可用金额按申请端已确认公式“范围预算－范围实际值－范围冻结金额”计算，三项范围由当前生效管控方式确定，不在申请端余额上再次扣冻结。一级管控下，子科目显示“共享 XX 科目额度”，不可将共享余额在子科目重复相加；点击可定位对应一级规则说明。一级父行额度按管控池展示。</w:t>
      </w:r>
    </w:p>
    <w:p w14:paraId="6BF21872">
      <w:pPr>
        <w:pStyle w:val="16"/>
        <w:keepLines/>
        <w:spacing w:after="40"/>
        <w:ind w:left="312" w:hanging="142"/>
      </w:pPr>
      <w:r>
        <w:rPr>
          <w:rFonts w:ascii="Aptos" w:hAnsi="Aptos" w:eastAsia="微软雅黑"/>
          <w:color w:val="000000"/>
          <w:sz w:val="21"/>
        </w:rPr>
        <w:t>本月实际／冻结期间可能与累计管控可用期间不同，字段和下钻期间必须分别标明，不得以本月数据解释累计额度。</w:t>
      </w:r>
    </w:p>
    <w:p w14:paraId="751B0B68">
      <w:pPr>
        <w:pStyle w:val="16"/>
        <w:keepLines/>
        <w:spacing w:after="40"/>
        <w:ind w:left="312" w:hanging="142"/>
      </w:pPr>
      <w:r>
        <w:rPr>
          <w:rFonts w:ascii="Aptos" w:hAnsi="Aptos" w:eastAsia="微软雅黑"/>
          <w:color w:val="000000"/>
          <w:sz w:val="21"/>
        </w:rPr>
        <w:t>收入科目展示预算和实际；不适用的冻结及支出管控额度显示“—”。负可用额度显示真实负数和超额状态；余额为零但未超额时不得标为超额。</w:t>
      </w:r>
    </w:p>
    <w:p w14:paraId="150BEA97">
      <w:pPr>
        <w:pStyle w:val="16"/>
        <w:keepLines/>
        <w:spacing w:after="40"/>
        <w:ind w:left="312" w:hanging="142"/>
      </w:pPr>
      <w:r>
        <w:rPr>
          <w:rFonts w:ascii="Aptos" w:hAnsi="Aptos" w:eastAsia="微软雅黑"/>
          <w:color w:val="000000"/>
          <w:sz w:val="21"/>
        </w:rPr>
        <w:t>不合计不同管控池、父子共享额度或不同累计期间的可用金额。</w:t>
      </w:r>
    </w:p>
    <w:p w14:paraId="585BF1FF">
      <w:pPr>
        <w:pStyle w:val="5"/>
      </w:pPr>
      <w:r>
        <w:rPr>
          <w:color w:val="000000"/>
        </w:rPr>
        <w:t>全年执行表</w:t>
      </w:r>
    </w:p>
    <w:p w14:paraId="418C341E">
      <w:pPr>
        <w:pStyle w:val="16"/>
        <w:keepLines/>
        <w:spacing w:after="40"/>
        <w:ind w:left="312" w:hanging="142"/>
      </w:pPr>
      <w:r>
        <w:rPr>
          <w:rFonts w:ascii="Aptos" w:hAnsi="Aptos" w:eastAsia="微软雅黑"/>
          <w:color w:val="000000"/>
          <w:sz w:val="21"/>
        </w:rPr>
        <w:t>展示科目、财年预算、财年实际、当前有效冻结及财年每月分布。按系统财年配置展示全部月份（当前示例为 2026-02 至 2027-01）。</w:t>
      </w:r>
    </w:p>
    <w:p w14:paraId="5D725285">
      <w:pPr>
        <w:pStyle w:val="16"/>
        <w:keepLines/>
        <w:spacing w:after="40"/>
        <w:ind w:left="312" w:hanging="142"/>
      </w:pPr>
      <w:r>
        <w:rPr>
          <w:rFonts w:ascii="Aptos" w:hAnsi="Aptos" w:eastAsia="微软雅黑"/>
          <w:color w:val="000000"/>
          <w:sz w:val="21"/>
        </w:rPr>
        <w:t>月分布指标提供预算／实际／冻结切换，默认实际；三项财年汇总列不随该切换变化。</w:t>
      </w:r>
    </w:p>
    <w:p w14:paraId="62DCCBD9">
      <w:pPr>
        <w:pStyle w:val="16"/>
        <w:keepLines/>
        <w:spacing w:after="40"/>
        <w:ind w:left="312" w:hanging="142"/>
      </w:pPr>
      <w:r>
        <w:rPr>
          <w:rFonts w:ascii="Aptos" w:hAnsi="Aptos" w:eastAsia="微软雅黑"/>
          <w:color w:val="000000"/>
          <w:sz w:val="21"/>
        </w:rPr>
        <w:t>财年冻结为归属本财年且当前仍有效的占用，按预算归属月分布；不可把历史快照逐月累加为全年冻结。</w:t>
      </w:r>
    </w:p>
    <w:p w14:paraId="2C645369">
      <w:pPr>
        <w:pStyle w:val="16"/>
        <w:keepLines/>
        <w:spacing w:after="40"/>
        <w:ind w:left="312" w:hanging="142"/>
      </w:pPr>
      <w:r>
        <w:rPr>
          <w:rFonts w:ascii="Aptos" w:hAnsi="Aptos" w:eastAsia="微软雅黑"/>
          <w:color w:val="000000"/>
          <w:sz w:val="21"/>
        </w:rPr>
        <w:t>点击财年实际／冻结汇总进入完整财年明细；点击月份金额进入该月明细。返回时保持指标和筛选。收入科目冻结显示“—”。不展示年度可申请额度或预算结余。</w:t>
      </w:r>
    </w:p>
    <w:p w14:paraId="372442A1">
      <w:pPr>
        <w:pStyle w:val="16"/>
        <w:keepLines/>
        <w:spacing w:after="40"/>
        <w:ind w:left="312" w:hanging="142"/>
      </w:pPr>
      <w:r>
        <w:rPr>
          <w:rFonts w:ascii="Aptos" w:hAnsi="Aptos" w:eastAsia="微软雅黑"/>
          <w:color w:val="000000"/>
          <w:sz w:val="21"/>
        </w:rPr>
        <w:t>固定科目列和表头并支持横向滚动。导出包含三项汇总、当前各月指标、取数时间及筛选条件。</w:t>
      </w:r>
    </w:p>
    <w:p w14:paraId="38A38D77">
      <w:pPr>
        <w:pStyle w:val="4"/>
      </w:pPr>
      <w:r>
        <w:rPr>
          <w:rFonts w:ascii="Aptos" w:hAnsi="Aptos" w:eastAsia="微软雅黑"/>
          <w:color w:val="000000"/>
          <w:sz w:val="26"/>
        </w:rPr>
        <w:t>3.4 P04 在途冻结明细</w:t>
      </w:r>
    </w:p>
    <w:p w14:paraId="766368C8">
      <w:pPr>
        <w:pStyle w:val="5"/>
      </w:pPr>
      <w:r>
        <w:rPr>
          <w:color w:val="000000"/>
        </w:rPr>
        <w:t>查询范围和字段</w:t>
      </w:r>
    </w:p>
    <w:p w14:paraId="5A67AF64">
      <w:pPr>
        <w:pStyle w:val="16"/>
        <w:keepLines/>
        <w:spacing w:after="40"/>
        <w:ind w:left="312" w:hanging="142"/>
      </w:pPr>
      <w:r>
        <w:rPr>
          <w:rFonts w:ascii="Aptos" w:hAnsi="Aptos" w:eastAsia="微软雅黑"/>
          <w:color w:val="000000"/>
          <w:sz w:val="21"/>
        </w:rPr>
        <w:t>从月度冻结金额下钻时继承团队、科目和单月；从额度说明冻结金额下钻时继承完整管控科目范围及累计／非累计期间。</w:t>
      </w:r>
    </w:p>
    <w:p w14:paraId="79B662E0">
      <w:pPr>
        <w:pStyle w:val="16"/>
        <w:keepLines/>
        <w:spacing w:after="40"/>
        <w:ind w:left="312" w:hanging="142"/>
      </w:pPr>
      <w:r>
        <w:rPr>
          <w:rFonts w:ascii="Aptos" w:hAnsi="Aptos" w:eastAsia="微软雅黑"/>
          <w:color w:val="000000"/>
          <w:sz w:val="21"/>
        </w:rPr>
        <w:t>筛选：团队、预算归属期间、费用科目、单据类型、单据状态、申请人（姓名／工号）、单号或单据标题。提供查询、重置、排序、分页、导出、刷新和返回。</w:t>
      </w:r>
    </w:p>
    <w:p w14:paraId="5697A112">
      <w:pPr>
        <w:pStyle w:val="16"/>
        <w:keepLines/>
        <w:spacing w:after="40"/>
        <w:ind w:left="312" w:hanging="142"/>
      </w:pPr>
      <w:r>
        <w:rPr>
          <w:rFonts w:ascii="Aptos" w:hAnsi="Aptos" w:eastAsia="微软雅黑"/>
          <w:color w:val="000000"/>
          <w:sz w:val="21"/>
        </w:rPr>
        <w:t>单据类型枚举：报销申请、付款申请、内部调账单、费用记账单、出差报销单、付款单、项目付款单、多项目付款单、固定资产付款单、报销单、项目报销单、多项目报销单、固定资产报销单、入企报销单。</w:t>
      </w:r>
    </w:p>
    <w:p w14:paraId="03049ED8">
      <w:pPr>
        <w:pStyle w:val="16"/>
        <w:keepLines/>
        <w:spacing w:after="40"/>
        <w:ind w:left="312" w:hanging="142"/>
      </w:pPr>
      <w:r>
        <w:rPr>
          <w:rFonts w:ascii="Aptos" w:hAnsi="Aptos" w:eastAsia="微软雅黑"/>
          <w:color w:val="000000"/>
          <w:sz w:val="21"/>
        </w:rPr>
        <w:t>状态筛选：待审批、审批中、待财务审核、待支付、支付处理中、支付失败。原单状态映射为页面状态，导出与详情保留原状态及当前节点；支付结果未知映射“支付处理中”并标记“结果待确认”，继续保留冻结。驳回／退回修改成功已释放冻结，不进入当前冻结列表；重新提交成功后按新版本实际在途状态展示。</w:t>
      </w:r>
    </w:p>
    <w:p w14:paraId="7778AD2C">
      <w:pPr>
        <w:pStyle w:val="16"/>
        <w:keepLines/>
        <w:spacing w:after="40"/>
        <w:ind w:left="312" w:hanging="142"/>
      </w:pPr>
      <w:r>
        <w:rPr>
          <w:rFonts w:ascii="Aptos" w:hAnsi="Aptos" w:eastAsia="微软雅黑"/>
          <w:color w:val="000000"/>
          <w:sz w:val="21"/>
        </w:rPr>
        <w:t>汇总展示当前有效冻结金额及去重单据数，按单据类型＋原单 ID 去重，不按明细行数计单。仅查询有效冻结大于 0 的记录；已支付、已使用或已释放且无有效冻结的记录不进入列表。</w:t>
      </w:r>
    </w:p>
    <w:p w14:paraId="1FCD7151">
      <w:pPr>
        <w:pStyle w:val="16"/>
        <w:keepLines/>
        <w:spacing w:after="40"/>
        <w:ind w:left="312" w:hanging="142"/>
      </w:pPr>
      <w:r>
        <w:rPr>
          <w:rFonts w:ascii="Aptos" w:hAnsi="Aptos" w:eastAsia="微软雅黑"/>
          <w:color w:val="000000"/>
          <w:sz w:val="21"/>
        </w:rPr>
        <w:t>字段：单号、单据类型、费用科目、预算归属月、申请人、单据标题、当前冻结金额、单据状态、提交时间、命中管控科目。首列只放单号；申请人显示“姓名（工号）”；不显示费用摘要。费用／分摊行保留在数据和原单详情中。</w:t>
      </w:r>
    </w:p>
    <w:p w14:paraId="6DB88F4D">
      <w:pPr>
        <w:pStyle w:val="16"/>
        <w:keepLines/>
        <w:spacing w:after="60" w:line="283" w:lineRule="auto"/>
        <w:ind w:left="312" w:hanging="142"/>
      </w:pPr>
      <w:r>
        <w:rPr>
          <w:rFonts w:ascii="Aptos" w:hAnsi="Aptos" w:eastAsia="微软雅黑"/>
          <w:color w:val="000000"/>
          <w:sz w:val="21"/>
        </w:rPr>
        <w:t>一行对应一个有效预算分摊记录，以原单 ID＋提交版本＋分摊 ID 唯一识别。同单、同科目、同月份的多条分摊仍分别展示，不按单号合并；列表、汇总和导出使用相同粒度，标识保留在数据中。</w:t>
      </w:r>
    </w:p>
    <w:p w14:paraId="2EBC2721">
      <w:pPr>
        <w:pStyle w:val="16"/>
        <w:keepLines/>
        <w:spacing w:after="40"/>
        <w:ind w:left="312" w:hanging="142"/>
      </w:pPr>
      <w:r>
        <w:rPr>
          <w:rFonts w:ascii="Aptos" w:hAnsi="Aptos" w:eastAsia="微软雅黑"/>
          <w:color w:val="000000"/>
          <w:sz w:val="21"/>
        </w:rPr>
        <w:t>单据提交日期不等同预算归属期间；按预算归属期间进行额度核对。</w:t>
      </w:r>
    </w:p>
    <w:p w14:paraId="1FF5F399">
      <w:pPr>
        <w:pStyle w:val="5"/>
      </w:pPr>
      <w:r>
        <w:rPr>
          <w:color w:val="000000"/>
        </w:rPr>
        <w:t>单据追溯</w:t>
      </w:r>
    </w:p>
    <w:p w14:paraId="7E3086D3">
      <w:pPr>
        <w:pStyle w:val="16"/>
        <w:keepLines/>
        <w:spacing w:after="40"/>
        <w:ind w:left="312" w:hanging="142"/>
      </w:pPr>
      <w:r>
        <w:rPr>
          <w:rFonts w:ascii="Aptos" w:hAnsi="Aptos" w:eastAsia="微软雅黑"/>
          <w:color w:val="000000"/>
          <w:sz w:val="21"/>
        </w:rPr>
        <w:t>点击单号在可关闭页签中打开 ERP 当前系统内该类型原单的“审批详情”；14 类单据均按原类型路由，关闭后返回来源明细并保留筛选。</w:t>
      </w:r>
    </w:p>
    <w:p w14:paraId="1788AA67">
      <w:pPr>
        <w:pStyle w:val="16"/>
        <w:keepLines/>
        <w:spacing w:after="40"/>
        <w:ind w:left="312" w:hanging="142"/>
      </w:pPr>
      <w:r>
        <w:rPr>
          <w:rFonts w:ascii="Aptos" w:hAnsi="Aptos" w:eastAsia="微软雅黑"/>
          <w:color w:val="000000"/>
          <w:sz w:val="21"/>
        </w:rPr>
        <w:t>有汇总权限但无详情权限时，单号操作明确显示无权限提示，不扩大单据访问权限。</w:t>
      </w:r>
    </w:p>
    <w:p w14:paraId="6F2EC45A">
      <w:pPr>
        <w:pStyle w:val="4"/>
      </w:pPr>
      <w:r>
        <w:rPr>
          <w:rFonts w:ascii="Aptos" w:hAnsi="Aptos" w:eastAsia="微软雅黑"/>
          <w:color w:val="000000"/>
          <w:sz w:val="26"/>
        </w:rPr>
        <w:t>3.5 P05 实际使用明细</w:t>
      </w:r>
    </w:p>
    <w:p w14:paraId="0B0E291F">
      <w:pPr>
        <w:pStyle w:val="16"/>
        <w:keepLines/>
        <w:spacing w:after="40"/>
        <w:ind w:left="312" w:hanging="142"/>
      </w:pPr>
      <w:r>
        <w:rPr>
          <w:rFonts w:ascii="Aptos" w:hAnsi="Aptos" w:eastAsia="微软雅黑"/>
          <w:color w:val="000000"/>
          <w:sz w:val="21"/>
        </w:rPr>
        <w:t>从月度／全年实际金额下钻，或从额度说明范围内实际下钻；继承团队、科目及完整归属期间。提供来源、类型、申请人、单号／标题查询，分页、排序、导出、刷新和返回。</w:t>
      </w:r>
    </w:p>
    <w:p w14:paraId="0278455A">
      <w:pPr>
        <w:pStyle w:val="16"/>
        <w:keepLines/>
        <w:spacing w:after="40"/>
        <w:ind w:left="312" w:hanging="142"/>
      </w:pPr>
      <w:r>
        <w:rPr>
          <w:rFonts w:ascii="Aptos" w:hAnsi="Aptos" w:eastAsia="微软雅黑"/>
          <w:color w:val="000000"/>
          <w:sz w:val="21"/>
        </w:rPr>
        <w:t>来源类型为“人工导入”“单据使用”。单据类型沿用 P04 的 14 种类型；人工导入类型显示“—”。选择人工导入来源时清空并禁用单据类型筛选；选择具体单据类型后限定为单据使用。</w:t>
      </w:r>
    </w:p>
    <w:p w14:paraId="6F2844C0">
      <w:pPr>
        <w:pStyle w:val="16"/>
        <w:keepLines/>
        <w:spacing w:after="40"/>
        <w:ind w:left="312" w:hanging="142"/>
      </w:pPr>
      <w:r>
        <w:rPr>
          <w:rFonts w:ascii="Aptos" w:hAnsi="Aptos" w:eastAsia="微软雅黑"/>
          <w:color w:val="000000"/>
          <w:sz w:val="21"/>
        </w:rPr>
        <w:t>汇总为实际净额及人工导入、单据使用小计；按完整筛选集计算，不受当前分页影响。</w:t>
      </w:r>
    </w:p>
    <w:p w14:paraId="29395531">
      <w:pPr>
        <w:pStyle w:val="16"/>
        <w:keepLines/>
        <w:spacing w:after="40"/>
        <w:ind w:left="312" w:hanging="142"/>
      </w:pPr>
      <w:r>
        <w:rPr>
          <w:rFonts w:ascii="Aptos" w:hAnsi="Aptos" w:eastAsia="微软雅黑"/>
          <w:color w:val="000000"/>
          <w:sz w:val="21"/>
        </w:rPr>
        <w:t>字段：单号、来源类型、单据类型、预算科目、预算归属月、申请人、单据标题、实际金额、实际确认日期。首列只展示单号，不展示费用摘要／团队副文案。</w:t>
      </w:r>
    </w:p>
    <w:p w14:paraId="48731EF9">
      <w:pPr>
        <w:pStyle w:val="16"/>
        <w:keepLines/>
        <w:spacing w:after="60" w:line="283" w:lineRule="auto"/>
        <w:ind w:left="312" w:hanging="142"/>
      </w:pPr>
      <w:r>
        <w:rPr>
          <w:rFonts w:ascii="Aptos" w:hAnsi="Aptos" w:eastAsia="微软雅黑"/>
          <w:color w:val="000000"/>
          <w:sz w:val="21"/>
        </w:rPr>
        <w:t>单据使用按实际流水＋预算分摊记录逐行展示，以实际流水 ID＋分摊 ID 唯一识别，正向与反向流水分别保留；人工导入按已确认批次原始行展示，以批次 ID＋原始行 ID 唯一识别。不能按单号去重金额，列表、汇总和导出保持一致。</w:t>
      </w:r>
    </w:p>
    <w:p w14:paraId="39471C94">
      <w:pPr>
        <w:pStyle w:val="16"/>
        <w:keepLines/>
        <w:spacing w:after="40"/>
        <w:ind w:left="312" w:hanging="142"/>
      </w:pPr>
      <w:r>
        <w:rPr>
          <w:rFonts w:ascii="Aptos" w:hAnsi="Aptos" w:eastAsia="微软雅黑"/>
          <w:color w:val="000000"/>
          <w:sz w:val="21"/>
        </w:rPr>
        <w:t>单据使用的申请人取原单申请人；人工导入取导入人；统一为“姓名（工号）”，查询及导出使用同一口径。单号或标题缺失显示“—”，不得用导入批次号冒充单号。</w:t>
      </w:r>
    </w:p>
    <w:p w14:paraId="73768569">
      <w:pPr>
        <w:pStyle w:val="16"/>
        <w:keepLines/>
        <w:spacing w:after="40"/>
        <w:ind w:left="312" w:hanging="142"/>
      </w:pPr>
      <w:r>
        <w:rPr>
          <w:rFonts w:ascii="Aptos" w:hAnsi="Aptos" w:eastAsia="微软雅黑"/>
          <w:color w:val="000000"/>
          <w:sz w:val="21"/>
        </w:rPr>
        <w:t>单据来源点击单号进入该张独立原单详情，不建立报销与付款间关联、不合并跨单据金额。人工导入点击来源进入导入批次追溯，展示导入人、时间和原始行；追溯能力未提供时标记待补齐，不造链接。</w:t>
      </w:r>
    </w:p>
    <w:p w14:paraId="1AE90F8D">
      <w:pPr>
        <w:pStyle w:val="16"/>
        <w:keepLines/>
        <w:spacing w:after="40"/>
        <w:ind w:left="312" w:hanging="142"/>
      </w:pPr>
      <w:r>
        <w:rPr>
          <w:rFonts w:ascii="Aptos" w:hAnsi="Aptos" w:eastAsia="微软雅黑"/>
          <w:color w:val="000000"/>
          <w:sz w:val="21"/>
        </w:rPr>
        <w:t>实际确认日期按现有确认业务口径；导入时间单独展示。冲销／退款按现有规则以负数参与净额。页面只读，不显示新增、编辑或删除操作。</w:t>
      </w:r>
    </w:p>
    <w:p w14:paraId="35569218">
      <w:pPr>
        <w:pStyle w:val="16"/>
        <w:keepLines/>
        <w:spacing w:after="40"/>
        <w:ind w:left="312" w:hanging="142"/>
      </w:pPr>
      <w:r>
        <w:rPr>
          <w:rFonts w:ascii="Aptos" w:hAnsi="Aptos" w:eastAsia="微软雅黑"/>
          <w:color w:val="000000"/>
          <w:sz w:val="21"/>
        </w:rPr>
        <w:t>系统单据重复事件去重及导入与系统单据的重复认定沿用现行机制，需在联调确认，不由本页面另行定义。</w:t>
      </w:r>
    </w:p>
    <w:p w14:paraId="789DEDCA">
      <w:pPr>
        <w:pStyle w:val="4"/>
      </w:pPr>
      <w:r>
        <w:rPr>
          <w:rFonts w:ascii="Aptos" w:hAnsi="Aptos" w:eastAsia="微软雅黑"/>
          <w:color w:val="000000"/>
          <w:sz w:val="26"/>
        </w:rPr>
        <w:t>3.6 C01 管控额度计算说明</w:t>
      </w:r>
    </w:p>
    <w:p w14:paraId="23586519">
      <w:pPr>
        <w:spacing w:line="283" w:lineRule="auto"/>
      </w:pPr>
      <w:r>
        <w:rPr>
          <w:rFonts w:ascii="Aptos" w:hAnsi="Aptos" w:eastAsia="微软雅黑"/>
          <w:color w:val="000000"/>
          <w:sz w:val="21"/>
        </w:rPr>
        <w:t>打开抽屉时显示团队、归属月、数据截至时间、当前生效管控科目／方式、范围预算、范围实际、当前有效冻结及可用额度。固定展示已确认计算关系“当前可用余额＝范围预算－范围实际值－范围冻结金额”；先按下表确定科目池和期间，再在同一范围及数据版本内汇总三项金额。点击范围内实际／冻结进入 P05／P04，继承完整管控范围及相同取数版本。</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3515"/>
        <w:gridCol w:w="3515"/>
      </w:tblGrid>
      <w:tr w14:paraId="03BF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522AFBA3">
            <w:pPr>
              <w:keepNext/>
              <w:jc w:val="left"/>
            </w:pPr>
            <w:r>
              <w:rPr>
                <w:rFonts w:ascii="Aptos" w:hAnsi="Aptos" w:eastAsia="微软雅黑"/>
                <w:b/>
                <w:color w:val="FFFFFF"/>
                <w:sz w:val="18"/>
              </w:rPr>
              <w:t>规则</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10DFE86">
            <w:pPr>
              <w:keepNext/>
              <w:jc w:val="left"/>
            </w:pPr>
            <w:r>
              <w:rPr>
                <w:rFonts w:ascii="Aptos" w:hAnsi="Aptos" w:eastAsia="微软雅黑"/>
                <w:b/>
                <w:color w:val="FFFFFF"/>
                <w:sz w:val="18"/>
              </w:rPr>
              <w:t>科目范围</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F3BF9AF">
            <w:pPr>
              <w:keepNext/>
              <w:jc w:val="left"/>
            </w:pPr>
            <w:r>
              <w:rPr>
                <w:rFonts w:ascii="Aptos" w:hAnsi="Aptos" w:eastAsia="微软雅黑"/>
                <w:b/>
                <w:color w:val="FFFFFF"/>
                <w:sz w:val="18"/>
              </w:rPr>
              <w:t>期间范围</w:t>
            </w:r>
          </w:p>
        </w:tc>
      </w:tr>
      <w:tr w14:paraId="5079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808C851">
            <w:pPr>
              <w:spacing w:line="259" w:lineRule="auto"/>
            </w:pPr>
            <w:r>
              <w:rPr>
                <w:rFonts w:ascii="Aptos" w:hAnsi="Aptos" w:eastAsia="微软雅黑"/>
                <w:color w:val="000000"/>
                <w:sz w:val="21"/>
              </w:rPr>
              <w:t>一级预算月累计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30BA117">
            <w:pPr>
              <w:spacing w:line="259" w:lineRule="auto"/>
            </w:pPr>
            <w:r>
              <w:rPr>
                <w:rFonts w:ascii="Aptos" w:hAnsi="Aptos" w:eastAsia="微软雅黑"/>
                <w:color w:val="000000"/>
                <w:sz w:val="21"/>
              </w:rPr>
              <w:t>命中的一级科目及所有下属费用科目</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1502BC6">
            <w:pPr>
              <w:spacing w:line="259" w:lineRule="auto"/>
            </w:pPr>
            <w:r>
              <w:rPr>
                <w:rFonts w:ascii="Aptos" w:hAnsi="Aptos" w:eastAsia="微软雅黑"/>
                <w:color w:val="000000"/>
                <w:sz w:val="21"/>
              </w:rPr>
              <w:t>财年起始月至预算归属月</w:t>
            </w:r>
          </w:p>
        </w:tc>
      </w:tr>
      <w:tr w14:paraId="344E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E9471A0">
            <w:pPr>
              <w:spacing w:line="259" w:lineRule="auto"/>
            </w:pPr>
            <w:r>
              <w:rPr>
                <w:rFonts w:ascii="Aptos" w:hAnsi="Aptos" w:eastAsia="微软雅黑"/>
                <w:color w:val="000000"/>
                <w:sz w:val="21"/>
              </w:rPr>
              <w:t>一级预算月不累计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12222AA">
            <w:pPr>
              <w:spacing w:line="259" w:lineRule="auto"/>
            </w:pPr>
            <w:r>
              <w:rPr>
                <w:rFonts w:ascii="Aptos" w:hAnsi="Aptos" w:eastAsia="微软雅黑"/>
                <w:color w:val="000000"/>
                <w:sz w:val="21"/>
              </w:rPr>
              <w:t>命中的一级科目及所有下属费用科目</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F4D2A04">
            <w:pPr>
              <w:spacing w:line="259" w:lineRule="auto"/>
            </w:pPr>
            <w:r>
              <w:rPr>
                <w:rFonts w:ascii="Aptos" w:hAnsi="Aptos" w:eastAsia="微软雅黑"/>
                <w:color w:val="000000"/>
                <w:sz w:val="21"/>
              </w:rPr>
              <w:t>仅预算归属月</w:t>
            </w:r>
          </w:p>
        </w:tc>
      </w:tr>
      <w:tr w14:paraId="0795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B444BCC">
            <w:pPr>
              <w:spacing w:line="259" w:lineRule="auto"/>
            </w:pPr>
            <w:r>
              <w:rPr>
                <w:rFonts w:ascii="Aptos" w:hAnsi="Aptos" w:eastAsia="微软雅黑"/>
                <w:color w:val="000000"/>
                <w:sz w:val="21"/>
              </w:rPr>
              <w:t>二级预算月累计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3CE642A">
            <w:pPr>
              <w:spacing w:line="259" w:lineRule="auto"/>
            </w:pPr>
            <w:r>
              <w:rPr>
                <w:rFonts w:ascii="Aptos" w:hAnsi="Aptos" w:eastAsia="微软雅黑"/>
                <w:color w:val="000000"/>
                <w:sz w:val="21"/>
              </w:rPr>
              <w:t>命中的二级科目及其下属明细</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ED26F9D">
            <w:pPr>
              <w:spacing w:line="259" w:lineRule="auto"/>
            </w:pPr>
            <w:r>
              <w:rPr>
                <w:rFonts w:ascii="Aptos" w:hAnsi="Aptos" w:eastAsia="微软雅黑"/>
                <w:color w:val="000000"/>
                <w:sz w:val="21"/>
              </w:rPr>
              <w:t>财年起始月至预算归属月</w:t>
            </w:r>
          </w:p>
        </w:tc>
      </w:tr>
      <w:tr w14:paraId="26C6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DDF53C7">
            <w:pPr>
              <w:spacing w:line="259" w:lineRule="auto"/>
            </w:pPr>
            <w:r>
              <w:rPr>
                <w:rFonts w:ascii="Aptos" w:hAnsi="Aptos" w:eastAsia="微软雅黑"/>
                <w:color w:val="000000"/>
                <w:sz w:val="21"/>
              </w:rPr>
              <w:t>二级预算月不累计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23C6096">
            <w:pPr>
              <w:spacing w:line="259" w:lineRule="auto"/>
            </w:pPr>
            <w:r>
              <w:rPr>
                <w:rFonts w:ascii="Aptos" w:hAnsi="Aptos" w:eastAsia="微软雅黑"/>
                <w:color w:val="000000"/>
                <w:sz w:val="21"/>
              </w:rPr>
              <w:t>命中的二级科目及其下属明细</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20241CC">
            <w:pPr>
              <w:spacing w:line="259" w:lineRule="auto"/>
            </w:pPr>
            <w:r>
              <w:rPr>
                <w:rFonts w:ascii="Aptos" w:hAnsi="Aptos" w:eastAsia="微软雅黑"/>
                <w:color w:val="000000"/>
                <w:sz w:val="21"/>
              </w:rPr>
              <w:t>仅预算归属月</w:t>
            </w:r>
          </w:p>
        </w:tc>
      </w:tr>
    </w:tbl>
    <w:p w14:paraId="01D122F3">
      <w:pPr>
        <w:spacing w:line="283" w:lineRule="auto"/>
      </w:pPr>
      <w:r>
        <w:rPr>
          <w:rFonts w:ascii="Aptos" w:hAnsi="Aptos" w:eastAsia="微软雅黑"/>
          <w:color w:val="000000"/>
          <w:sz w:val="21"/>
        </w:rPr>
        <w:t>月累计允许财年起始月至归属月的既有结余参与可用额，不包含未来月份预算；财年边界依系统配置。共享一级额度不可在子科目重复合计。抽屉内实际和冻结金额可点击下钻。</w:t>
      </w:r>
    </w:p>
    <w:p w14:paraId="6D385FC2">
      <w:pPr>
        <w:pStyle w:val="4"/>
      </w:pPr>
      <w:r>
        <w:rPr>
          <w:rFonts w:ascii="Aptos" w:hAnsi="Aptos" w:eastAsia="微软雅黑"/>
          <w:color w:val="000000"/>
          <w:sz w:val="26"/>
        </w:rPr>
        <w:t>3.7 办公管理申请与审批</w:t>
      </w:r>
    </w:p>
    <w:p w14:paraId="79258074">
      <w:pPr>
        <w:pStyle w:val="5"/>
      </w:pPr>
      <w:r>
        <w:rPr>
          <w:color w:val="000000"/>
        </w:rPr>
        <w:t>团队预算调整申请</w:t>
      </w:r>
    </w:p>
    <w:p w14:paraId="20FB14F9">
      <w:pPr>
        <w:pStyle w:val="16"/>
        <w:keepLines/>
        <w:spacing w:after="40"/>
        <w:ind w:left="312" w:hanging="142"/>
      </w:pPr>
      <w:r>
        <w:rPr>
          <w:rFonts w:ascii="Aptos" w:hAnsi="Aptos" w:eastAsia="微软雅黑"/>
          <w:color w:val="000000"/>
          <w:sz w:val="21"/>
        </w:rPr>
        <w:t>“办公管理 → 申请”提供“团队预算调整申请单”入口。点击后居中弹窗选择财年和当前用户可申请团队；取消关闭弹窗，确认后打开独立申请页签。同团队同财年重复打开复用现有页签。</w:t>
      </w:r>
    </w:p>
    <w:p w14:paraId="690F1942">
      <w:pPr>
        <w:pStyle w:val="16"/>
        <w:keepLines/>
        <w:spacing w:after="40"/>
        <w:ind w:left="312" w:hanging="142"/>
      </w:pPr>
      <w:r>
        <w:rPr>
          <w:rFonts w:ascii="Aptos" w:hAnsi="Aptos" w:eastAsia="微软雅黑"/>
          <w:color w:val="000000"/>
          <w:sz w:val="21"/>
        </w:rPr>
        <w:t>申请基础信息：标题、申请时间、申请人、申请部门、团队、财年。操作：取消、保存草稿、提交送审。</w:t>
      </w:r>
    </w:p>
    <w:p w14:paraId="5218B626">
      <w:pPr>
        <w:pStyle w:val="16"/>
        <w:keepLines/>
        <w:spacing w:after="40"/>
        <w:ind w:left="312" w:hanging="142"/>
      </w:pPr>
      <w:r>
        <w:rPr>
          <w:rFonts w:ascii="Aptos" w:hAnsi="Aptos" w:eastAsia="微软雅黑"/>
          <w:color w:val="000000"/>
          <w:sz w:val="21"/>
        </w:rPr>
        <w:t>默认显示当前财年的当前归属月（示例为 2026-10）；查看非当前财年时显示该财年最后一个归属月。可展开财年全部月份，收起不得丢弃其他月份输入。</w:t>
      </w:r>
    </w:p>
    <w:p w14:paraId="1A4C3FB8">
      <w:pPr>
        <w:pStyle w:val="16"/>
        <w:keepLines/>
        <w:spacing w:after="40"/>
        <w:ind w:left="312" w:hanging="142"/>
      </w:pPr>
      <w:r>
        <w:rPr>
          <w:rFonts w:ascii="Aptos" w:hAnsi="Aptos" w:eastAsia="微软雅黑"/>
          <w:color w:val="000000"/>
          <w:sz w:val="21"/>
        </w:rPr>
        <w:t>每月显示原始预算、调整前、调整后、变动金额、变动率。二级科目调整后可编辑；一级科目只读且由下级汇总。科目列固定左侧；原因输入按二级科目填写，多月调整共用该科目原因；全年展开时原因列固定右侧。</w:t>
      </w:r>
    </w:p>
    <w:p w14:paraId="320D3C4A">
      <w:pPr>
        <w:pStyle w:val="16"/>
        <w:keepLines/>
        <w:spacing w:after="40"/>
        <w:ind w:left="312" w:hanging="142"/>
      </w:pPr>
      <w:r>
        <w:rPr>
          <w:rFonts w:ascii="Aptos" w:hAnsi="Aptos" w:eastAsia="微软雅黑"/>
          <w:color w:val="000000"/>
          <w:sz w:val="21"/>
        </w:rPr>
        <w:t>提交必须至少包含一笔与调整前不同的调整；每个变更科目必须填写原因。验证失败时明确指出字段并定位到原因输入框或金额输入框。</w:t>
      </w:r>
    </w:p>
    <w:p w14:paraId="0447924A">
      <w:pPr>
        <w:pStyle w:val="16"/>
        <w:keepLines/>
        <w:spacing w:after="40"/>
        <w:ind w:left="312" w:hanging="142"/>
      </w:pPr>
      <w:r>
        <w:rPr>
          <w:rFonts w:ascii="Aptos" w:hAnsi="Aptos" w:eastAsia="微软雅黑"/>
          <w:color w:val="000000"/>
          <w:sz w:val="21"/>
        </w:rPr>
        <w:t>提交二次确认后生成申请快照并进入审批流程和审批列表；申请页转只读，阻止重复提交。审批详情读取提交时的预算、原因和变动快照，不受后续编辑影响。</w:t>
      </w:r>
    </w:p>
    <w:p w14:paraId="50735751">
      <w:pPr>
        <w:pStyle w:val="16"/>
        <w:keepLines/>
        <w:spacing w:after="40"/>
        <w:ind w:left="312" w:hanging="142"/>
      </w:pPr>
      <w:r>
        <w:rPr>
          <w:rFonts w:ascii="Aptos" w:hAnsi="Aptos" w:eastAsia="微软雅黑"/>
          <w:color w:val="000000"/>
          <w:sz w:val="21"/>
        </w:rPr>
        <w:t>变动金额＝调整后－调整前；调整前非 0 时，变动率＝变动金额÷调整前绝对值×100%，显示至小数点后 2 位，正负表示金额增加／减少。调整前为 0、调整后非 0 时显示“—（由零调整）”；两者均为 0 时显示“—”，不计为变更。原始预算、提交时调整前、调整后分别保留。</w:t>
      </w:r>
    </w:p>
    <w:p w14:paraId="4D1C802C">
      <w:pPr>
        <w:pStyle w:val="16"/>
        <w:keepLines/>
        <w:spacing w:after="60" w:line="283" w:lineRule="auto"/>
        <w:ind w:left="312" w:hanging="142"/>
      </w:pPr>
      <w:r>
        <w:rPr>
          <w:rFonts w:ascii="Aptos" w:hAnsi="Aptos" w:eastAsia="微软雅黑"/>
          <w:color w:val="000000"/>
          <w:sz w:val="21"/>
        </w:rPr>
        <w:t>负数示例：－1,000→－500，变动＋500、＋50.00%；1,000→－500，变动－1,500、－150.00%；0→－500，变动－500、变动率“—（由零调整）”。父科目按下级带符号金额汇总，净增加／减少按变动金额正负汇总，不将负数取绝对值后累计。</w:t>
      </w:r>
    </w:p>
    <w:p w14:paraId="72D080FA">
      <w:pPr>
        <w:pStyle w:val="5"/>
      </w:pPr>
      <w:r>
        <w:rPr>
          <w:color w:val="000000"/>
        </w:rPr>
        <w:t>审批列表与详情</w:t>
      </w:r>
    </w:p>
    <w:p w14:paraId="781A9050">
      <w:pPr>
        <w:pStyle w:val="16"/>
        <w:keepLines/>
        <w:spacing w:after="60" w:line="283" w:lineRule="auto"/>
        <w:ind w:left="312" w:hanging="142"/>
      </w:pPr>
      <w:r>
        <w:rPr>
          <w:rFonts w:ascii="Aptos" w:hAnsi="Aptos" w:eastAsia="微软雅黑"/>
          <w:color w:val="000000"/>
          <w:sz w:val="21"/>
        </w:rPr>
        <w:t>整条流程审批通过时，团队预算调整生效，按该申请审批快照中的调整后金额更新对应团队、财年、科目和月份的预算；未调整项保持不变，重复通过通知不重复生效。执行页和额度说明刷新后读取生效预算并重算可用余额，已有实际和冻结金额不因此改变。</w:t>
      </w:r>
    </w:p>
    <w:p w14:paraId="7422AC4E">
      <w:pPr>
        <w:pStyle w:val="16"/>
        <w:keepLines/>
        <w:spacing w:after="40"/>
        <w:ind w:left="312" w:hanging="142"/>
      </w:pPr>
      <w:r>
        <w:rPr>
          <w:rFonts w:ascii="Aptos" w:hAnsi="Aptos" w:eastAsia="微软雅黑"/>
          <w:color w:val="000000"/>
          <w:sz w:val="21"/>
        </w:rPr>
        <w:t>“本次调整”只展示本次变化科目与月份及父科目上下文；列含原始预算、调整前、调整后、变动金额、变动率、本项原因和完整预算定位。汇总按二级科目＋月份去重，不重复累计父科目。</w:t>
      </w:r>
    </w:p>
    <w:p w14:paraId="7452C728">
      <w:pPr>
        <w:pStyle w:val="16"/>
        <w:keepLines/>
        <w:spacing w:after="40"/>
        <w:ind w:left="312" w:hanging="142"/>
      </w:pPr>
      <w:r>
        <w:rPr>
          <w:rFonts w:ascii="Aptos" w:hAnsi="Aptos" w:eastAsia="微软雅黑"/>
          <w:color w:val="000000"/>
          <w:sz w:val="21"/>
        </w:rPr>
        <w:t>“完整预算”展示全财年、全部科目及每月原始预算、调整前、调整后、变动金额、变动率；固定科目列、两层表头，区分历史调整和本次调整。调整原因展示在末列并标明月份。调整金额纯文本，不可点击。</w:t>
      </w:r>
    </w:p>
    <w:p w14:paraId="6115D5EA">
      <w:pPr>
        <w:pStyle w:val="16"/>
        <w:keepLines/>
        <w:spacing w:after="40"/>
        <w:ind w:left="312" w:hanging="142"/>
      </w:pPr>
      <w:r>
        <w:rPr>
          <w:rFonts w:ascii="Aptos" w:hAnsi="Aptos" w:eastAsia="微软雅黑"/>
          <w:color w:val="000000"/>
          <w:sz w:val="21"/>
        </w:rPr>
        <w:t>定位操作切到完整预算并聚焦对应科目、月份和调整后单元格。示例汇总：5 个科目、3 个月份，增加 30,000、减少 10,000、净增加 20,000；仅为原型一致性样例。</w:t>
      </w:r>
    </w:p>
    <w:p w14:paraId="6CF7F8CF">
      <w:pPr>
        <w:pStyle w:val="16"/>
        <w:keepLines/>
        <w:spacing w:after="40"/>
        <w:ind w:left="312" w:hanging="142"/>
      </w:pPr>
      <w:r>
        <w:rPr>
          <w:rFonts w:ascii="Aptos" w:hAnsi="Aptos" w:eastAsia="微软雅黑"/>
          <w:color w:val="000000"/>
          <w:sz w:val="21"/>
        </w:rPr>
        <w:t>同意、驳回、转审、加签、评论沿用现有审批能力，同步申请列表、详情状态及日志。草稿、审批中、退回修改、驳回或撤回不改变生效预算；单个节点同意不代表整条流程通过。</w:t>
      </w:r>
    </w:p>
    <w:p w14:paraId="6F2F882E">
      <w:pPr>
        <w:pStyle w:val="3"/>
      </w:pPr>
      <w:bookmarkStart w:id="5" w:name="_Toc3306"/>
      <w:r>
        <w:rPr>
          <w:rFonts w:ascii="Aptos" w:hAnsi="Aptos" w:eastAsia="微软雅黑"/>
          <w:color w:val="000000"/>
          <w:sz w:val="32"/>
        </w:rPr>
        <w:t>4. 预算与数据口径</w:t>
      </w:r>
      <w:bookmarkEnd w:id="5"/>
    </w:p>
    <w:p w14:paraId="6BC6E31F">
      <w:pPr>
        <w:pStyle w:val="4"/>
      </w:pPr>
      <w:r>
        <w:rPr>
          <w:rFonts w:ascii="Aptos" w:hAnsi="Aptos" w:eastAsia="微软雅黑"/>
          <w:color w:val="000000"/>
          <w:sz w:val="26"/>
        </w:rPr>
        <w:t>4.1 基础口径</w:t>
      </w:r>
    </w:p>
    <w:p w14:paraId="57CC760C">
      <w:r>
        <w:rPr>
          <w:rFonts w:ascii="Aptos" w:hAnsi="Aptos" w:eastAsia="微软雅黑"/>
          <w:color w:val="000000"/>
          <w:sz w:val="21"/>
        </w:rPr>
        <w:t>本次明确，报销申请、付款申请、内部调账单、费用记账单、出差报销单、付款单、项目付款单、多项目付款单、固定资产付款单、报销单、项目报销单、多项目报销单、固定资产报销单、入企报销单共 14 类单据，均纳入申请时使用预算的范围。</w:t>
      </w:r>
    </w:p>
    <w:p w14:paraId="28E8EF24">
      <w:pPr>
        <w:spacing w:line="283" w:lineRule="auto"/>
        <w:ind w:left="255" w:hanging="255"/>
      </w:pPr>
      <w:r>
        <w:rPr>
          <w:rFonts w:ascii="Aptos" w:hAnsi="Aptos" w:eastAsia="微软雅黑"/>
          <w:color w:val="000000"/>
          <w:sz w:val="21"/>
        </w:rPr>
        <w:t>1. 预算归属月决定预算、实际、冻结和管控额度归集月份；单据提交日期、实际确认日期、导入时间是不同时间字段。</w:t>
      </w:r>
    </w:p>
    <w:p w14:paraId="44DEE224">
      <w:pPr>
        <w:spacing w:line="283" w:lineRule="auto"/>
        <w:ind w:left="255" w:hanging="255"/>
      </w:pPr>
      <w:r>
        <w:rPr>
          <w:rFonts w:ascii="Aptos" w:hAnsi="Aptos" w:eastAsia="微软雅黑"/>
          <w:color w:val="000000"/>
          <w:sz w:val="21"/>
        </w:rPr>
        <w:t>2. 月累计从财年起始月累计到归属月；未来月份预算不得提前使用。非累计仅计算归属月。财年定义和月份顺序来自系统配置。</w:t>
      </w:r>
    </w:p>
    <w:p w14:paraId="58F9C278">
      <w:pPr>
        <w:spacing w:line="283" w:lineRule="auto"/>
      </w:pPr>
      <w:r>
        <w:rPr>
          <w:rFonts w:ascii="Aptos" w:hAnsi="Aptos" w:eastAsia="微软雅黑"/>
          <w:color w:val="000000"/>
          <w:sz w:val="21"/>
        </w:rPr>
        <w:t>3. 申请端当前可用余额已确认按预算管控方式计算：范围预算－范围实际值－范围冻结金额。预算执行端复用相同规则和公式；三项金额必须属于同一团队、管控科目池、管控期间、币种和数据版本。</w:t>
      </w:r>
    </w:p>
    <w:p w14:paraId="584E231A">
      <w:pPr>
        <w:pStyle w:val="4"/>
      </w:pPr>
      <w:r>
        <w:rPr>
          <w:rFonts w:ascii="Aptos" w:hAnsi="Aptos" w:eastAsia="微软雅黑"/>
          <w:color w:val="000000"/>
          <w:sz w:val="26"/>
        </w:rPr>
        <w:t>4.2 金额对账示例</w:t>
      </w:r>
    </w:p>
    <w:p w14:paraId="2A471A29">
      <w:pPr>
        <w:spacing w:line="283" w:lineRule="auto"/>
      </w:pPr>
      <w:r>
        <w:rPr>
          <w:rFonts w:ascii="Aptos" w:hAnsi="Aptos" w:eastAsia="微软雅黑"/>
          <w:color w:val="000000"/>
          <w:sz w:val="21"/>
        </w:rPr>
        <w:t>以下用于验证流转算法，不表示真实业务单已执行。假设一个范围预算 100,000 元，原有已使用 10,000 元，无其他调整项，当前新增申请预算金额为 20,000 元。以下主路径适用于支付成功转已使用的 12 类单据，各步骤发生在同一管控范围及预算归属期间；内部调账单和费用记账单分别在其已确认节点完成同样的整单金额转换。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1587"/>
        <w:gridCol w:w="1587"/>
        <w:gridCol w:w="1701"/>
      </w:tblGrid>
      <w:tr w14:paraId="740B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42000C6">
            <w:pPr>
              <w:keepNext/>
              <w:jc w:val="left"/>
            </w:pPr>
            <w:r>
              <w:rPr>
                <w:rFonts w:ascii="Aptos" w:hAnsi="Aptos" w:eastAsia="微软雅黑"/>
                <w:b/>
                <w:color w:val="FFFFFF"/>
                <w:sz w:val="18"/>
              </w:rPr>
              <w:t>场景步骤</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C469A21">
            <w:pPr>
              <w:keepNext/>
              <w:jc w:val="left"/>
            </w:pPr>
            <w:r>
              <w:rPr>
                <w:rFonts w:ascii="Aptos" w:hAnsi="Aptos" w:eastAsia="微软雅黑"/>
                <w:b/>
                <w:color w:val="FFFFFF"/>
                <w:sz w:val="18"/>
              </w:rPr>
              <w:t>当前冻结 F</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27B41C0C">
            <w:pPr>
              <w:keepNext/>
              <w:jc w:val="left"/>
            </w:pPr>
            <w:r>
              <w:rPr>
                <w:rFonts w:ascii="Aptos" w:hAnsi="Aptos" w:eastAsia="微软雅黑"/>
                <w:b/>
                <w:color w:val="FFFFFF"/>
                <w:sz w:val="18"/>
              </w:rPr>
              <w:t>已使用净额 U</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3AF50E2">
            <w:pPr>
              <w:keepNext/>
              <w:jc w:val="left"/>
            </w:pPr>
            <w:r>
              <w:rPr>
                <w:rFonts w:ascii="Aptos" w:hAnsi="Aptos" w:eastAsia="微软雅黑"/>
                <w:b/>
                <w:color w:val="FFFFFF"/>
                <w:sz w:val="18"/>
              </w:rPr>
              <w:t>可用额度 A</w:t>
            </w:r>
          </w:p>
        </w:tc>
      </w:tr>
      <w:tr w14:paraId="360D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2FEA79C">
            <w:pPr>
              <w:spacing w:line="259" w:lineRule="auto"/>
            </w:pPr>
            <w:r>
              <w:rPr>
                <w:rFonts w:ascii="Aptos" w:hAnsi="Aptos" w:eastAsia="微软雅黑"/>
                <w:color w:val="000000"/>
                <w:sz w:val="21"/>
              </w:rPr>
              <w:t>初始／保存草稿</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202F387">
            <w:pPr>
              <w:spacing w:line="259" w:lineRule="auto"/>
            </w:pPr>
            <w:r>
              <w:rPr>
                <w:rFonts w:ascii="Aptos" w:hAnsi="Aptos" w:eastAsia="微软雅黑"/>
                <w:color w:val="000000"/>
                <w:sz w:val="21"/>
              </w:rPr>
              <w:t>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8392E66">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98D7DE7">
            <w:pPr>
              <w:spacing w:line="259" w:lineRule="auto"/>
            </w:pPr>
            <w:r>
              <w:rPr>
                <w:rFonts w:ascii="Aptos" w:hAnsi="Aptos" w:eastAsia="微软雅黑"/>
                <w:color w:val="000000"/>
                <w:sz w:val="21"/>
              </w:rPr>
              <w:t>90,000.00</w:t>
            </w:r>
          </w:p>
        </w:tc>
      </w:tr>
      <w:tr w14:paraId="194F3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93A5C86">
            <w:pPr>
              <w:spacing w:line="259" w:lineRule="auto"/>
            </w:pPr>
            <w:r>
              <w:rPr>
                <w:rFonts w:ascii="Aptos" w:hAnsi="Aptos" w:eastAsia="微软雅黑"/>
                <w:color w:val="000000"/>
                <w:sz w:val="21"/>
              </w:rPr>
              <w:t>正式提交 20,000 成功</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9CE2AAE">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B2183D7">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1DF8F31">
            <w:pPr>
              <w:spacing w:line="259" w:lineRule="auto"/>
            </w:pPr>
            <w:r>
              <w:rPr>
                <w:rFonts w:ascii="Aptos" w:hAnsi="Aptos" w:eastAsia="微软雅黑"/>
                <w:color w:val="000000"/>
                <w:sz w:val="21"/>
              </w:rPr>
              <w:t>70,000.00</w:t>
            </w:r>
          </w:p>
        </w:tc>
      </w:tr>
      <w:tr w14:paraId="16AB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1FF5B21">
            <w:pPr>
              <w:spacing w:line="259" w:lineRule="auto"/>
            </w:pPr>
            <w:r>
              <w:rPr>
                <w:rFonts w:ascii="Aptos" w:hAnsi="Aptos" w:eastAsia="微软雅黑"/>
                <w:color w:val="000000"/>
                <w:sz w:val="21"/>
              </w:rPr>
              <w:t>12 类单据财务审批通过、待支付</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77E724E">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0B135B3">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FCF97E2">
            <w:pPr>
              <w:spacing w:line="259" w:lineRule="auto"/>
            </w:pPr>
            <w:r>
              <w:rPr>
                <w:rFonts w:ascii="Aptos" w:hAnsi="Aptos" w:eastAsia="微软雅黑"/>
                <w:color w:val="000000"/>
                <w:sz w:val="21"/>
              </w:rPr>
              <w:t>70,000.00</w:t>
            </w:r>
          </w:p>
        </w:tc>
      </w:tr>
      <w:tr w14:paraId="69A6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5A8D866">
            <w:pPr>
              <w:spacing w:line="259" w:lineRule="auto"/>
            </w:pPr>
            <w:r>
              <w:rPr>
                <w:rFonts w:ascii="Aptos" w:hAnsi="Aptos" w:eastAsia="微软雅黑"/>
                <w:color w:val="000000"/>
                <w:sz w:val="21"/>
              </w:rPr>
              <w:t>支付失败或结果未知</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F487149">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38F94E5">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2ED927E">
            <w:pPr>
              <w:spacing w:line="259" w:lineRule="auto"/>
            </w:pPr>
            <w:r>
              <w:rPr>
                <w:rFonts w:ascii="Aptos" w:hAnsi="Aptos" w:eastAsia="微软雅黑"/>
                <w:color w:val="000000"/>
                <w:sz w:val="21"/>
              </w:rPr>
              <w:t>70,000.00</w:t>
            </w:r>
          </w:p>
        </w:tc>
      </w:tr>
      <w:tr w14:paraId="1C41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F9D5F6C">
            <w:pPr>
              <w:spacing w:line="259" w:lineRule="auto"/>
            </w:pPr>
            <w:r>
              <w:rPr>
                <w:rFonts w:ascii="Aptos" w:hAnsi="Aptos" w:eastAsia="微软雅黑"/>
                <w:color w:val="000000"/>
                <w:sz w:val="21"/>
              </w:rPr>
              <w:t>支付成功，整单 20,000 转实际</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467B2A8">
            <w:pPr>
              <w:spacing w:line="259" w:lineRule="auto"/>
            </w:pPr>
            <w:r>
              <w:rPr>
                <w:rFonts w:ascii="Aptos" w:hAnsi="Aptos" w:eastAsia="微软雅黑"/>
                <w:color w:val="000000"/>
                <w:sz w:val="21"/>
              </w:rPr>
              <w:t>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B3A9493">
            <w:pPr>
              <w:spacing w:line="259" w:lineRule="auto"/>
            </w:pPr>
            <w:r>
              <w:rPr>
                <w:rFonts w:ascii="Aptos" w:hAnsi="Aptos" w:eastAsia="微软雅黑"/>
                <w:color w:val="000000"/>
                <w:sz w:val="21"/>
              </w:rPr>
              <w:t>30,000.00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9A3A942">
            <w:pPr>
              <w:spacing w:line="259" w:lineRule="auto"/>
            </w:pPr>
            <w:r>
              <w:rPr>
                <w:rFonts w:ascii="Aptos" w:hAnsi="Aptos" w:eastAsia="微软雅黑"/>
                <w:color w:val="000000"/>
                <w:sz w:val="21"/>
              </w:rPr>
              <w:t>70,000.00</w:t>
            </w:r>
          </w:p>
        </w:tc>
      </w:tr>
    </w:tbl>
    <w:p w14:paraId="4E4AAAAA">
      <w:pPr>
        <w:spacing w:line="283" w:lineRule="auto"/>
      </w:pPr>
      <w:r>
        <w:rPr>
          <w:rFonts w:ascii="Aptos" w:hAnsi="Aptos" w:eastAsia="微软雅黑"/>
          <w:color w:val="000000"/>
          <w:sz w:val="21"/>
        </w:rPr>
        <w:t>整单确认后，本单全部分摊行同步退出冻结明细，并按原团队、科目和归属月进入实际明细；同一取数版本不得出现本单冻结与实际并存。</w:t>
      </w:r>
    </w:p>
    <w:p w14:paraId="2587F250">
      <w:pPr>
        <w:spacing w:line="283" w:lineRule="auto"/>
      </w:pPr>
      <w:r>
        <w:rPr>
          <w:rFonts w:ascii="Aptos" w:hAnsi="Aptos" w:eastAsia="微软雅黑"/>
          <w:color w:val="000000"/>
          <w:sz w:val="21"/>
        </w:rPr>
        <w:t>另开独立取消分支：从正式提交后成功撤回 20,000 元，F 恢复 0，U 保持 10,000，A 恢复 90,000。撤回失败则保持原冻结；同一释放通知重放不应把可用额度增加至 110,000。</w:t>
      </w:r>
    </w:p>
    <w:p w14:paraId="56B0E393">
      <w:pPr>
        <w:spacing w:line="283" w:lineRule="auto"/>
      </w:pPr>
      <w:r>
        <w:rPr>
          <w:rFonts w:ascii="Aptos" w:hAnsi="Aptos" w:eastAsia="微软雅黑"/>
          <w:color w:val="000000"/>
          <w:sz w:val="21"/>
        </w:rPr>
        <w:t>另开独立驳回重提分支：正式提交 20,000 元后驳回／退回修改成功，F 归零、A 恢复 90,000；修改为 25,000 元并保存草稿时不冻结。重新提交成功后 F 为 25,000、A 为 65,000；重提校验失败则仍为 F ＝ 0、A ＝ 90,000。旧版本释放通知不得影响新版本冻结。</w:t>
      </w:r>
    </w:p>
    <w:p w14:paraId="4769E6AC">
      <w:pPr>
        <w:pStyle w:val="3"/>
      </w:pPr>
      <w:bookmarkStart w:id="6" w:name="_Toc24422"/>
      <w:r>
        <w:t>5. 历史数据处理方案</w:t>
      </w:r>
      <w:bookmarkEnd w:id="6"/>
    </w:p>
    <w:p w14:paraId="1F73C447">
      <w:pPr>
        <w:pStyle w:val="4"/>
      </w:pPr>
      <w:r>
        <w:t>5.1 处理范围与原则</w:t>
      </w:r>
    </w:p>
    <w:p w14:paraId="592DF20B">
      <w:pPr>
        <w:keepLines/>
        <w:spacing w:line="283" w:lineRule="auto"/>
      </w:pPr>
      <w:r>
        <w:rPr>
          <w:rFonts w:ascii="Aptos" w:hAnsi="Aptos" w:eastAsia="微软雅黑"/>
          <w:color w:val="000000"/>
          <w:sz w:val="21"/>
        </w:rPr>
        <w:t>上线前已有的 14 类业务单据按统一截止时点 T 的有效状态及审批、支付、财务确认结果重新分类，先建立逐单预算分摊明细，再汇总冻结和实际已使用金额。覆盖上线后查询及预算管控所需历史期间；跨财年仍在途的单据一并处理，保持原预算归属月份。</w:t>
      </w:r>
    </w:p>
    <w:p w14:paraId="361A0427">
      <w:pPr>
        <w:keepLines/>
        <w:spacing w:line="283" w:lineRule="auto"/>
      </w:pPr>
      <w:r>
        <w:rPr>
          <w:rFonts w:ascii="Aptos" w:hAnsi="Aptos" w:eastAsia="微软雅黑"/>
          <w:color w:val="000000"/>
          <w:sz w:val="21"/>
        </w:rPr>
        <w:t>旧系统冻结和实际总额不作为迁移金额、不与重建结果叠加，也不作为必须对平的目标，仅留存备查。预算总额沿用已生效预算；可用余额按第 3.6 节的管控范围，用生效预算－重建实际净额－重建有效冻结重新计算，允许真实负余额，不补差强行保持旧余额。</w:t>
      </w:r>
    </w:p>
    <w:p w14:paraId="6A7C92C4">
      <w:pPr>
        <w:pStyle w:val="4"/>
      </w:pPr>
      <w:r>
        <w:t>5.2 历史单据分类规则</w:t>
      </w:r>
    </w:p>
    <w:p w14:paraId="1253BDCD">
      <w:pPr>
        <w:keepLines/>
        <w:spacing w:line="283" w:lineRule="auto"/>
      </w:pPr>
      <w:r>
        <w:rPr>
          <w:rFonts w:ascii="Aptos" w:hAnsi="Aptos" w:eastAsia="微软雅黑"/>
          <w:color w:val="000000"/>
          <w:sz w:val="21"/>
        </w:rPr>
        <w:t>下表适用于截止 T 已取得有效结果且预算分摊完整的单据。先核对是否曾达到已使用确认节点；已使用后发生驳回、作废或退款，不能仅凭当前状态删除实际，须核对有效反向业务。状态与业务结果冲突的转异常清单核查。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9"/>
        <w:gridCol w:w="2721"/>
        <w:gridCol w:w="2721"/>
      </w:tblGrid>
      <w:tr w14:paraId="57F23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96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DECB2E5">
            <w:pPr>
              <w:keepNext/>
              <w:jc w:val="left"/>
            </w:pPr>
            <w:r>
              <w:rPr>
                <w:rFonts w:ascii="Aptos" w:hAnsi="Aptos" w:eastAsia="微软雅黑"/>
                <w:b/>
                <w:color w:val="FFFFFF"/>
                <w:sz w:val="18"/>
              </w:rPr>
              <w:t>截止时点的有效情况</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50D5D4EB">
            <w:pPr>
              <w:keepNext/>
              <w:jc w:val="left"/>
            </w:pPr>
            <w:r>
              <w:rPr>
                <w:rFonts w:ascii="Aptos" w:hAnsi="Aptos" w:eastAsia="微软雅黑"/>
                <w:b/>
                <w:color w:val="FFFFFF"/>
                <w:sz w:val="18"/>
              </w:rPr>
              <w:t>冻结处理</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42D491E6">
            <w:pPr>
              <w:keepNext/>
              <w:jc w:val="left"/>
            </w:pPr>
            <w:r>
              <w:rPr>
                <w:rFonts w:ascii="Aptos" w:hAnsi="Aptos" w:eastAsia="微软雅黑"/>
                <w:b/>
                <w:color w:val="FFFFFF"/>
                <w:sz w:val="18"/>
              </w:rPr>
              <w:t>实际已使用处理</w:t>
            </w:r>
          </w:p>
        </w:tc>
      </w:tr>
      <w:tr w14:paraId="0AF3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A642F6F">
            <w:pPr>
              <w:spacing w:line="259" w:lineRule="auto"/>
            </w:pPr>
            <w:r>
              <w:rPr>
                <w:rFonts w:ascii="Aptos" w:hAnsi="Aptos" w:eastAsia="微软雅黑"/>
                <w:color w:val="000000"/>
                <w:sz w:val="21"/>
              </w:rPr>
              <w:t>草稿、未正式提交或提交失败</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FC4EC09">
            <w:pPr>
              <w:spacing w:line="259" w:lineRule="auto"/>
            </w:pPr>
            <w:r>
              <w:rPr>
                <w:rFonts w:ascii="Aptos" w:hAnsi="Aptos" w:eastAsia="微软雅黑"/>
                <w:color w:val="000000"/>
                <w:sz w:val="21"/>
              </w:rPr>
              <w:t>不计入</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7758352">
            <w:pPr>
              <w:spacing w:line="259" w:lineRule="auto"/>
            </w:pPr>
            <w:r>
              <w:rPr>
                <w:rFonts w:ascii="Aptos" w:hAnsi="Aptos" w:eastAsia="微软雅黑"/>
                <w:color w:val="000000"/>
                <w:sz w:val="21"/>
              </w:rPr>
              <w:t>不计入</w:t>
            </w:r>
          </w:p>
        </w:tc>
      </w:tr>
      <w:tr w14:paraId="04E7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3AC0195">
            <w:pPr>
              <w:spacing w:line="259" w:lineRule="auto"/>
            </w:pPr>
            <w:r>
              <w:rPr>
                <w:rFonts w:ascii="Aptos" w:hAnsi="Aptos" w:eastAsia="微软雅黑"/>
                <w:color w:val="000000"/>
                <w:sz w:val="21"/>
              </w:rPr>
              <w:t>已提交，业务审批或财务审批中，未达使用节点</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1CACC62">
            <w:pPr>
              <w:spacing w:line="259" w:lineRule="auto"/>
            </w:pPr>
            <w:r>
              <w:rPr>
                <w:rFonts w:ascii="Aptos" w:hAnsi="Aptos" w:eastAsia="微软雅黑"/>
                <w:color w:val="000000"/>
                <w:sz w:val="21"/>
              </w:rPr>
              <w:t>按有效预算分摊计入</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6677B6F">
            <w:pPr>
              <w:spacing w:line="259" w:lineRule="auto"/>
            </w:pPr>
            <w:r>
              <w:rPr>
                <w:rFonts w:ascii="Aptos" w:hAnsi="Aptos" w:eastAsia="微软雅黑"/>
                <w:color w:val="000000"/>
                <w:sz w:val="21"/>
              </w:rPr>
              <w:t>不计入</w:t>
            </w:r>
          </w:p>
        </w:tc>
      </w:tr>
      <w:tr w14:paraId="0162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07AC45F">
            <w:pPr>
              <w:spacing w:line="259" w:lineRule="auto"/>
            </w:pPr>
            <w:r>
              <w:rPr>
                <w:rFonts w:ascii="Aptos" w:hAnsi="Aptos" w:eastAsia="微软雅黑"/>
                <w:color w:val="000000"/>
                <w:sz w:val="21"/>
              </w:rPr>
              <w:t>驳回／退回修改成功，尚未重新提交且此前未使用</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C4D457C">
            <w:pPr>
              <w:spacing w:line="259" w:lineRule="auto"/>
            </w:pPr>
            <w:r>
              <w:rPr>
                <w:rFonts w:ascii="Aptos" w:hAnsi="Aptos" w:eastAsia="微软雅黑"/>
                <w:color w:val="000000"/>
                <w:sz w:val="21"/>
              </w:rPr>
              <w:t>不计入；原冻结已释放</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6DA37FB">
            <w:pPr>
              <w:spacing w:line="259" w:lineRule="auto"/>
            </w:pPr>
            <w:r>
              <w:rPr>
                <w:rFonts w:ascii="Aptos" w:hAnsi="Aptos" w:eastAsia="微软雅黑"/>
                <w:color w:val="000000"/>
                <w:sz w:val="21"/>
              </w:rPr>
              <w:t>不计入</w:t>
            </w:r>
          </w:p>
        </w:tc>
      </w:tr>
      <w:tr w14:paraId="5E26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C117ACC">
            <w:pPr>
              <w:spacing w:line="259" w:lineRule="auto"/>
            </w:pPr>
            <w:r>
              <w:rPr>
                <w:rFonts w:ascii="Aptos" w:hAnsi="Aptos" w:eastAsia="微软雅黑"/>
                <w:color w:val="000000"/>
                <w:sz w:val="21"/>
              </w:rPr>
              <w:t>驳回后已重新提交成功</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ED07918">
            <w:pPr>
              <w:spacing w:line="259" w:lineRule="auto"/>
            </w:pPr>
            <w:r>
              <w:rPr>
                <w:rFonts w:ascii="Aptos" w:hAnsi="Aptos" w:eastAsia="微软雅黑"/>
                <w:color w:val="000000"/>
                <w:sz w:val="21"/>
              </w:rPr>
              <w:t>新版本仍在途且未达使用节点时计入</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AFCEF30">
            <w:pPr>
              <w:spacing w:line="259" w:lineRule="auto"/>
            </w:pPr>
            <w:r>
              <w:rPr>
                <w:rFonts w:ascii="Aptos" w:hAnsi="Aptos" w:eastAsia="微软雅黑"/>
                <w:color w:val="000000"/>
                <w:sz w:val="21"/>
              </w:rPr>
              <w:t>新版本达到使用节点时计入，旧版本不重复计入</w:t>
            </w:r>
          </w:p>
        </w:tc>
      </w:tr>
      <w:tr w14:paraId="68D36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AB91E05">
            <w:pPr>
              <w:spacing w:line="259" w:lineRule="auto"/>
            </w:pPr>
            <w:r>
              <w:rPr>
                <w:rFonts w:ascii="Aptos" w:hAnsi="Aptos" w:eastAsia="微软雅黑"/>
                <w:color w:val="000000"/>
                <w:sz w:val="21"/>
              </w:rPr>
              <w:t>其余 12 类待支付、支付处理中、失败或结果未知</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6E8935F">
            <w:pPr>
              <w:spacing w:line="259" w:lineRule="auto"/>
            </w:pPr>
            <w:r>
              <w:rPr>
                <w:rFonts w:ascii="Aptos" w:hAnsi="Aptos" w:eastAsia="微软雅黑"/>
                <w:color w:val="000000"/>
                <w:sz w:val="21"/>
              </w:rPr>
              <w:t>按有效预算分摊计入；未知结果标记待核查</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18F400D">
            <w:pPr>
              <w:spacing w:line="259" w:lineRule="auto"/>
            </w:pPr>
            <w:r>
              <w:rPr>
                <w:rFonts w:ascii="Aptos" w:hAnsi="Aptos" w:eastAsia="微软雅黑"/>
                <w:color w:val="000000"/>
                <w:sz w:val="21"/>
              </w:rPr>
              <w:t>未证实支付成功前不计入</w:t>
            </w:r>
          </w:p>
        </w:tc>
      </w:tr>
      <w:tr w14:paraId="66EBF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4C5BFF7">
            <w:pPr>
              <w:spacing w:line="259" w:lineRule="auto"/>
            </w:pPr>
            <w:r>
              <w:rPr>
                <w:rFonts w:ascii="Aptos" w:hAnsi="Aptos" w:eastAsia="微软雅黑"/>
                <w:color w:val="000000"/>
                <w:sz w:val="21"/>
              </w:rPr>
              <w:t>其余 12 类支付成功</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93D26F1">
            <w:pPr>
              <w:spacing w:line="259" w:lineRule="auto"/>
            </w:pPr>
            <w:r>
              <w:rPr>
                <w:rFonts w:ascii="Aptos" w:hAnsi="Aptos" w:eastAsia="微软雅黑"/>
                <w:color w:val="000000"/>
                <w:sz w:val="21"/>
              </w:rPr>
              <w:t>不计入</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26ABF09">
            <w:pPr>
              <w:spacing w:line="259" w:lineRule="auto"/>
            </w:pPr>
            <w:r>
              <w:rPr>
                <w:rFonts w:ascii="Aptos" w:hAnsi="Aptos" w:eastAsia="微软雅黑"/>
                <w:color w:val="000000"/>
                <w:sz w:val="21"/>
              </w:rPr>
              <w:t>整单有效预算分摊计入</w:t>
            </w:r>
          </w:p>
        </w:tc>
      </w:tr>
      <w:tr w14:paraId="7E94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C88FBFC">
            <w:pPr>
              <w:spacing w:line="259" w:lineRule="auto"/>
            </w:pPr>
            <w:r>
              <w:rPr>
                <w:rFonts w:ascii="Aptos" w:hAnsi="Aptos" w:eastAsia="微软雅黑"/>
                <w:color w:val="000000"/>
                <w:sz w:val="21"/>
              </w:rPr>
              <w:t>内部调账单财务确认成功／费用记账单整条流程审批通过</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91C3EF2">
            <w:pPr>
              <w:spacing w:line="259" w:lineRule="auto"/>
            </w:pPr>
            <w:r>
              <w:rPr>
                <w:rFonts w:ascii="Aptos" w:hAnsi="Aptos" w:eastAsia="微软雅黑"/>
                <w:color w:val="000000"/>
                <w:sz w:val="21"/>
              </w:rPr>
              <w:t>不计入</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64A5678">
            <w:pPr>
              <w:spacing w:line="259" w:lineRule="auto"/>
            </w:pPr>
            <w:r>
              <w:rPr>
                <w:rFonts w:ascii="Aptos" w:hAnsi="Aptos" w:eastAsia="微软雅黑"/>
                <w:color w:val="000000"/>
                <w:sz w:val="21"/>
              </w:rPr>
              <w:t>按对应已确认节点整单计入</w:t>
            </w:r>
          </w:p>
        </w:tc>
      </w:tr>
      <w:tr w14:paraId="4D40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14F41F3">
            <w:pPr>
              <w:spacing w:line="259" w:lineRule="auto"/>
            </w:pPr>
            <w:r>
              <w:rPr>
                <w:rFonts w:ascii="Aptos" w:hAnsi="Aptos" w:eastAsia="微软雅黑"/>
                <w:color w:val="000000"/>
                <w:sz w:val="21"/>
              </w:rPr>
              <w:t>撤回、作废或取消成功，且此前未使用</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6B445E3">
            <w:pPr>
              <w:spacing w:line="259" w:lineRule="auto"/>
            </w:pPr>
            <w:r>
              <w:rPr>
                <w:rFonts w:ascii="Aptos" w:hAnsi="Aptos" w:eastAsia="微软雅黑"/>
                <w:color w:val="000000"/>
                <w:sz w:val="21"/>
              </w:rPr>
              <w:t>不计入</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E2B4172">
            <w:pPr>
              <w:spacing w:line="259" w:lineRule="auto"/>
            </w:pPr>
            <w:r>
              <w:rPr>
                <w:rFonts w:ascii="Aptos" w:hAnsi="Aptos" w:eastAsia="微软雅黑"/>
                <w:color w:val="000000"/>
                <w:sz w:val="21"/>
              </w:rPr>
              <w:t>不计入</w:t>
            </w:r>
          </w:p>
        </w:tc>
      </w:tr>
      <w:tr w14:paraId="5D7A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FA4DC76">
            <w:pPr>
              <w:spacing w:line="259" w:lineRule="auto"/>
            </w:pPr>
            <w:r>
              <w:rPr>
                <w:rFonts w:ascii="Aptos" w:hAnsi="Aptos" w:eastAsia="微软雅黑"/>
                <w:color w:val="000000"/>
                <w:sz w:val="21"/>
              </w:rPr>
              <w:t>已使用后发生有效退款、冲销等</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619C8A8">
            <w:pPr>
              <w:spacing w:line="259" w:lineRule="auto"/>
            </w:pPr>
            <w:r>
              <w:rPr>
                <w:rFonts w:ascii="Aptos" w:hAnsi="Aptos" w:eastAsia="微软雅黑"/>
                <w:color w:val="000000"/>
                <w:sz w:val="21"/>
              </w:rPr>
              <w:t>不新增冻结</w:t>
            </w:r>
          </w:p>
        </w:tc>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9595CEE">
            <w:pPr>
              <w:spacing w:line="259" w:lineRule="auto"/>
            </w:pPr>
            <w:r>
              <w:rPr>
                <w:rFonts w:ascii="Aptos" w:hAnsi="Aptos" w:eastAsia="微软雅黑"/>
                <w:color w:val="000000"/>
                <w:sz w:val="21"/>
              </w:rPr>
              <w:t>保留原使用，关联负向流水计算净额</w:t>
            </w:r>
          </w:p>
        </w:tc>
      </w:tr>
    </w:tbl>
    <w:p w14:paraId="6CB9AB7A">
      <w:pPr>
        <w:spacing w:after="20"/>
      </w:pPr>
    </w:p>
    <w:p w14:paraId="5EFB4E4E">
      <w:pPr>
        <w:keepLines/>
        <w:spacing w:line="283" w:lineRule="auto"/>
      </w:pPr>
      <w:r>
        <w:rPr>
          <w:rFonts w:ascii="Aptos" w:hAnsi="Aptos" w:eastAsia="微软雅黑"/>
          <w:color w:val="000000"/>
          <w:sz w:val="21"/>
        </w:rPr>
        <w:t>内部调账单、费用记账单未达到各自确认节点且仍有效在途的，按冻结处理。14 类单据范围及三个使用节点沿用第 2、4 章，不因迁移另设节点或增加“部分已使用”状态。</w:t>
      </w:r>
    </w:p>
    <w:p w14:paraId="02FC4D8D">
      <w:pPr>
        <w:pStyle w:val="4"/>
      </w:pPr>
      <w:r>
        <w:t>5.3 明细重建与异常处理</w:t>
      </w:r>
    </w:p>
    <w:p w14:paraId="666A202C">
      <w:pPr>
        <w:pStyle w:val="16"/>
        <w:keepLines/>
        <w:spacing w:after="40"/>
        <w:ind w:left="312" w:hanging="142"/>
      </w:pPr>
      <w:r>
        <w:rPr>
          <w:rFonts w:ascii="Aptos" w:hAnsi="Aptos" w:eastAsia="微软雅黑"/>
          <w:color w:val="000000"/>
          <w:sz w:val="21"/>
        </w:rPr>
        <w:t>按原单 ID、单据类型、有效提交版本及预算分摊提取团队、科目、预算归属月、币种、项目与预算金额；金额取预算分摊金额，不直接累加单据总额。多项目、多团队或跨月份分摊逐行归集；内部调账沿用原业务分摊方向，不将正负两侧都作为正向支出累计。</w:t>
      </w:r>
    </w:p>
    <w:p w14:paraId="429FD54C">
      <w:pPr>
        <w:pStyle w:val="16"/>
        <w:keepLines/>
        <w:spacing w:after="40"/>
        <w:ind w:left="312" w:hanging="142"/>
      </w:pPr>
      <w:r>
        <w:rPr>
          <w:rFonts w:ascii="Aptos" w:hAnsi="Aptos" w:eastAsia="微软雅黑"/>
          <w:color w:val="000000"/>
          <w:sz w:val="21"/>
        </w:rPr>
        <w:t>每条迁移记录保留原单及分摊标识、分类依据、原业务确认时间、迁移批次和截止时间。同一提交版本不同时计入冻结和实际；人工导入按已确认批次原始行单独迁入实际，与系统单据核实去重，不根据旧总额差额伪造导入记录。</w:t>
      </w:r>
    </w:p>
    <w:p w14:paraId="7A5DAF61">
      <w:pPr>
        <w:pStyle w:val="16"/>
        <w:keepLines/>
        <w:spacing w:after="40"/>
        <w:ind w:left="312" w:hanging="142"/>
      </w:pPr>
      <w:r>
        <w:rPr>
          <w:rFonts w:ascii="Aptos" w:hAnsi="Aptos" w:eastAsia="微软雅黑"/>
          <w:color w:val="000000"/>
          <w:sz w:val="21"/>
        </w:rPr>
        <w:t>缺分摊、金额不一致、状态与结果冲突、疑似重复或反向关联缺失的记录进入异常清单，列明单号、原因、影响金额及处理结论；核实或补齐后重建，不直接按零处理。支付结果未知可暂列冻结并保留待核查标记；影响上线范围余额且无法确定金额或归属的异常，须处理完成后再切换相应范围。</w:t>
      </w:r>
    </w:p>
    <w:p w14:paraId="43E3D8F9">
      <w:pPr>
        <w:pStyle w:val="4"/>
      </w:pPr>
      <w:r>
        <w:t>5.4 上线切换与在途衔接</w:t>
      </w:r>
    </w:p>
    <w:p w14:paraId="21316A1C">
      <w:pPr>
        <w:pStyle w:val="16"/>
        <w:keepLines/>
        <w:spacing w:after="40"/>
        <w:ind w:left="312" w:hanging="142"/>
      </w:pPr>
      <w:r>
        <w:rPr>
          <w:rFonts w:ascii="Aptos" w:hAnsi="Aptos" w:eastAsia="微软雅黑"/>
          <w:color w:val="000000"/>
          <w:sz w:val="21"/>
        </w:rPr>
        <w:t>先试跑并校验；正式切换时暂停会改变预算结果的提交、审批、确认和导入入账，统一截取 T 时点快照。外部支付回调可靠保存，核对快照内是否已处理，切换后只处理尚未计入的事件。保存旧数据及切换记录，校验通过后启用新明细和汇总，旧汇总停止写入新口径。</w:t>
      </w:r>
    </w:p>
    <w:p w14:paraId="03DC200C">
      <w:pPr>
        <w:pStyle w:val="16"/>
        <w:keepLines/>
        <w:spacing w:after="40"/>
        <w:ind w:left="312" w:hanging="142"/>
      </w:pPr>
      <w:r>
        <w:rPr>
          <w:rFonts w:ascii="Aptos" w:hAnsi="Aptos" w:eastAsia="微软雅黑"/>
          <w:color w:val="000000"/>
          <w:sz w:val="21"/>
        </w:rPr>
        <w:t>历史在途冻结只初始化一次。上线后达到对应使用节点，原冻结整单归零、实际增加同额；驳回／退回修改、撤回、作废或取消成功，全额释放当前有效冻结。修改或保存草稿不冻结，重新提交成功才按新版本分摊重新校验并冻结，失败不新增冻结。</w:t>
      </w:r>
    </w:p>
    <w:p w14:paraId="20DC2923">
      <w:pPr>
        <w:pStyle w:val="16"/>
        <w:keepLines/>
        <w:spacing w:after="40"/>
        <w:ind w:left="312" w:hanging="142"/>
      </w:pPr>
      <w:r>
        <w:rPr>
          <w:rFonts w:ascii="Aptos" w:hAnsi="Aptos" w:eastAsia="微软雅黑"/>
          <w:color w:val="000000"/>
          <w:sz w:val="21"/>
        </w:rPr>
        <w:t>已迁入实际的历史单据收到迟到或重复确认通知，不再增加实际。重跑迁移不得叠加金额；旧版本事件不得释放或转换新版本冻结。重复释放、支付或确认均只生效一次，迁移与实时处理通过原单、提交版本及业务事件标识识别已处理结果。</w:t>
      </w:r>
    </w:p>
    <w:p w14:paraId="678BC6F6">
      <w:pPr>
        <w:pStyle w:val="4"/>
      </w:pPr>
      <w:r>
        <w:t>5.5 核验与交付结果</w:t>
      </w:r>
    </w:p>
    <w:p w14:paraId="651623F2">
      <w:pPr>
        <w:pStyle w:val="16"/>
        <w:keepLines/>
        <w:spacing w:after="40"/>
        <w:ind w:left="312" w:hanging="142"/>
      </w:pPr>
      <w:r>
        <w:rPr>
          <w:rFonts w:ascii="Aptos" w:hAnsi="Aptos" w:eastAsia="微软雅黑"/>
          <w:color w:val="000000"/>
          <w:sz w:val="21"/>
        </w:rPr>
        <w:t>全量校验 14 类单据分类、分摊笔数及金额；按团队、科目、预算归属月、币种核对“汇总＝有效明细之和”，再核验四种管控方式的可用余额。验证同一版本冻结与实际互斥、驳回不冻结、重新提交只取最新有效版本；人工导入及负向实际不漏计、不重复。</w:t>
      </w:r>
    </w:p>
    <w:p w14:paraId="44170C08">
      <w:pPr>
        <w:pStyle w:val="16"/>
        <w:keepLines/>
        <w:spacing w:after="40"/>
        <w:ind w:left="312" w:hanging="142"/>
      </w:pPr>
      <w:r>
        <w:rPr>
          <w:rFonts w:ascii="Aptos" w:hAnsi="Aptos" w:eastAsia="微软雅黑"/>
          <w:color w:val="000000"/>
          <w:sz w:val="21"/>
        </w:rPr>
        <w:t>必测历史在途上线后支付成功、驳回释放、重新提交、迟到回调、重复通知和迁移重跑。例：历史在途 20,000 元迁入冻结后支付成功，只转实际 20,000；若先驳回，冻结归零，修改为 25,000 后重新提交成功才冻结 25,000，重提失败仍为零。</w:t>
      </w:r>
    </w:p>
    <w:p w14:paraId="7511C7C3">
      <w:pPr>
        <w:pStyle w:val="16"/>
        <w:keepLines/>
        <w:spacing w:after="40"/>
        <w:ind w:left="312" w:hanging="142"/>
      </w:pPr>
      <w:r>
        <w:rPr>
          <w:rFonts w:ascii="Aptos" w:hAnsi="Aptos" w:eastAsia="微软雅黑"/>
          <w:color w:val="000000"/>
          <w:sz w:val="21"/>
        </w:rPr>
        <w:t>交付逐单冻结明细、实际及反向明细、分类汇总、异常处理清单和迁移批次记录；完成核验再恢复业务。正式启用前失败可撤销本批次恢复快照；启用后已有新业务时，应先停写并核对新增事件再修复或回退，不直接覆盖新数据。</w:t>
      </w:r>
    </w:p>
    <w:p w14:paraId="14D0D4E7">
      <w:pPr>
        <w:pStyle w:val="3"/>
        <w:pageBreakBefore/>
      </w:pPr>
      <w:bookmarkStart w:id="7" w:name="_Toc827"/>
      <w:r>
        <w:t>6. 刷新、异常和空态</w:t>
      </w:r>
      <w:bookmarkEnd w:id="7"/>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7427"/>
      </w:tblGrid>
      <w:tr w14:paraId="59BE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A9CFC24">
            <w:pPr>
              <w:keepNext/>
              <w:jc w:val="left"/>
            </w:pPr>
            <w:r>
              <w:rPr>
                <w:rFonts w:ascii="Aptos" w:hAnsi="Aptos" w:eastAsia="微软雅黑"/>
                <w:b/>
                <w:color w:val="FFFFFF"/>
                <w:sz w:val="18"/>
              </w:rPr>
              <w:t>场景</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5453E27">
            <w:pPr>
              <w:keepNext/>
              <w:jc w:val="left"/>
            </w:pPr>
            <w:r>
              <w:rPr>
                <w:rFonts w:ascii="Aptos" w:hAnsi="Aptos" w:eastAsia="微软雅黑"/>
                <w:b/>
                <w:color w:val="FFFFFF"/>
                <w:sz w:val="18"/>
              </w:rPr>
              <w:t>预期行为</w:t>
            </w:r>
          </w:p>
        </w:tc>
      </w:tr>
      <w:tr w14:paraId="194B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7DF01F1">
            <w:pPr>
              <w:spacing w:line="259" w:lineRule="auto"/>
            </w:pPr>
            <w:r>
              <w:rPr>
                <w:rFonts w:ascii="Aptos" w:hAnsi="Aptos" w:eastAsia="微软雅黑"/>
                <w:color w:val="000000"/>
                <w:sz w:val="21"/>
              </w:rPr>
              <w:t>初次加载</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A522708">
            <w:pPr>
              <w:spacing w:line="259" w:lineRule="auto"/>
            </w:pPr>
            <w:r>
              <w:rPr>
                <w:rFonts w:ascii="Aptos" w:hAnsi="Aptos" w:eastAsia="微软雅黑"/>
                <w:color w:val="000000"/>
                <w:sz w:val="21"/>
              </w:rPr>
              <w:t>展示加载态；成功后展示同版本金额、规则、明细和截至时间。</w:t>
            </w:r>
          </w:p>
        </w:tc>
      </w:tr>
      <w:tr w14:paraId="3A12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C96694A">
            <w:pPr>
              <w:spacing w:line="259" w:lineRule="auto"/>
            </w:pPr>
            <w:r>
              <w:rPr>
                <w:rFonts w:ascii="Aptos" w:hAnsi="Aptos" w:eastAsia="微软雅黑"/>
                <w:color w:val="000000"/>
                <w:sz w:val="21"/>
              </w:rPr>
              <w:t>手动刷新成功</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AD55079">
            <w:pPr>
              <w:spacing w:line="259" w:lineRule="auto"/>
            </w:pPr>
            <w:r>
              <w:rPr>
                <w:rFonts w:ascii="Aptos" w:hAnsi="Aptos" w:eastAsia="微软雅黑"/>
                <w:color w:val="000000"/>
                <w:sz w:val="21"/>
              </w:rPr>
              <w:t>更新预算、规则、占用、实际、冻结及额度相关数据和截至时间；保留团队、月份、视图和科目筛选。</w:t>
            </w:r>
          </w:p>
        </w:tc>
      </w:tr>
      <w:tr w14:paraId="7DCCB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D50F618">
            <w:pPr>
              <w:spacing w:line="259" w:lineRule="auto"/>
            </w:pPr>
            <w:r>
              <w:rPr>
                <w:rFonts w:ascii="Aptos" w:hAnsi="Aptos" w:eastAsia="微软雅黑"/>
                <w:color w:val="000000"/>
                <w:sz w:val="21"/>
              </w:rPr>
              <w:t>手动刷新失败</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6CEE991">
            <w:pPr>
              <w:spacing w:line="259" w:lineRule="auto"/>
            </w:pPr>
            <w:r>
              <w:rPr>
                <w:rFonts w:ascii="Aptos" w:hAnsi="Aptos" w:eastAsia="微软雅黑"/>
                <w:color w:val="000000"/>
                <w:sz w:val="21"/>
              </w:rPr>
              <w:t>保留旧数据及旧截至时间，提示失败和重试；旧数据不得标记为最新。</w:t>
            </w:r>
          </w:p>
        </w:tc>
      </w:tr>
      <w:tr w14:paraId="2BCB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DF8D238">
            <w:pPr>
              <w:spacing w:line="259" w:lineRule="auto"/>
            </w:pPr>
            <w:r>
              <w:rPr>
                <w:rFonts w:ascii="Aptos" w:hAnsi="Aptos" w:eastAsia="微软雅黑"/>
                <w:color w:val="000000"/>
                <w:sz w:val="21"/>
              </w:rPr>
              <w:t>空查询结果</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0829977">
            <w:pPr>
              <w:spacing w:line="259" w:lineRule="auto"/>
            </w:pPr>
            <w:r>
              <w:rPr>
                <w:rFonts w:ascii="Aptos" w:hAnsi="Aptos" w:eastAsia="微软雅黑"/>
                <w:color w:val="000000"/>
                <w:sz w:val="21"/>
              </w:rPr>
              <w:t>展示空态及调整条件提示，不伪造零金额明细。</w:t>
            </w:r>
          </w:p>
        </w:tc>
      </w:tr>
      <w:tr w14:paraId="0BCA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4E5075F">
            <w:pPr>
              <w:spacing w:line="259" w:lineRule="auto"/>
            </w:pPr>
            <w:r>
              <w:rPr>
                <w:rFonts w:ascii="Aptos" w:hAnsi="Aptos" w:eastAsia="微软雅黑"/>
                <w:color w:val="000000"/>
                <w:sz w:val="21"/>
              </w:rPr>
              <w:t>无详情权限</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91121E3">
            <w:pPr>
              <w:spacing w:line="259" w:lineRule="auto"/>
            </w:pPr>
            <w:r>
              <w:rPr>
                <w:rFonts w:ascii="Aptos" w:hAnsi="Aptos" w:eastAsia="微软雅黑"/>
                <w:color w:val="000000"/>
                <w:sz w:val="21"/>
              </w:rPr>
              <w:t>展示明确权限提示；不得把无权限显示为无记录或开放详情。</w:t>
            </w:r>
          </w:p>
        </w:tc>
      </w:tr>
      <w:tr w14:paraId="3D2D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143D0C9">
            <w:pPr>
              <w:spacing w:line="259" w:lineRule="auto"/>
            </w:pPr>
            <w:r>
              <w:rPr>
                <w:rFonts w:ascii="Aptos" w:hAnsi="Aptos" w:eastAsia="微软雅黑"/>
                <w:color w:val="000000"/>
                <w:sz w:val="21"/>
              </w:rPr>
              <w:t>网络／服务错误</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5C46994">
            <w:pPr>
              <w:spacing w:line="259" w:lineRule="auto"/>
            </w:pPr>
            <w:r>
              <w:rPr>
                <w:rFonts w:ascii="Aptos" w:hAnsi="Aptos" w:eastAsia="微软雅黑"/>
                <w:color w:val="000000"/>
                <w:sz w:val="21"/>
              </w:rPr>
              <w:t>显示可重试错误状态和必要的查询上下文；保留可用的旧快照及其时间。</w:t>
            </w:r>
          </w:p>
        </w:tc>
      </w:tr>
      <w:tr w14:paraId="1B5D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A1E592D">
            <w:pPr>
              <w:spacing w:line="259" w:lineRule="auto"/>
            </w:pPr>
            <w:r>
              <w:rPr>
                <w:rFonts w:ascii="Aptos" w:hAnsi="Aptos" w:eastAsia="微软雅黑"/>
                <w:color w:val="000000"/>
                <w:sz w:val="21"/>
              </w:rPr>
              <w:t>导出失败</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6BE7B48">
            <w:pPr>
              <w:spacing w:line="259" w:lineRule="auto"/>
            </w:pPr>
            <w:r>
              <w:rPr>
                <w:rFonts w:ascii="Aptos" w:hAnsi="Aptos" w:eastAsia="微软雅黑"/>
                <w:color w:val="000000"/>
                <w:sz w:val="21"/>
              </w:rPr>
              <w:t>提示失败并允许重试；不得提示成功或下载不完整数据。</w:t>
            </w:r>
          </w:p>
        </w:tc>
      </w:tr>
    </w:tbl>
    <w:p w14:paraId="7966F735"/>
    <w:sectPr>
      <w:headerReference r:id="rId5" w:type="default"/>
      <w:footerReference r:id="rId6" w:type="default"/>
      <w:pgSz w:w="11906" w:h="16838"/>
      <w:pgMar w:top="1134" w:right="1247" w:bottom="1020" w:left="1247"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05EF5">
    <w:pPr>
      <w:pStyle w:val="24"/>
      <w:jc w:val="center"/>
    </w:pPr>
    <w:r>
      <w:rPr>
        <w:rFonts w:ascii="Aptos" w:hAnsi="Aptos" w:eastAsia="微软雅黑"/>
        <w:color w:val="666666"/>
        <w:sz w:val="17"/>
      </w:rPr>
      <w:t xml:space="preserve">ERP-I003 预算优化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AB1AB">
    <w:pPr>
      <w:pStyle w:val="25"/>
      <w:jc w:val="right"/>
    </w:pPr>
    <w:r>
      <w:rPr>
        <w:rFonts w:ascii="Aptos" w:hAnsi="Aptos" w:eastAsia="微软雅黑"/>
        <w:color w:val="000000"/>
        <w:sz w:val="17"/>
      </w:rPr>
      <w:t>ERP-I003 预算优化 | 研发与测试需求基线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8972BA"/>
    <w:rsid w:val="32BD1B3D"/>
    <w:rsid w:val="3A706BDF"/>
    <w:rsid w:val="41814131"/>
    <w:rsid w:val="75C076FB"/>
    <w:rsid w:val="790D7C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93" w:lineRule="auto"/>
    </w:pPr>
    <w:rPr>
      <w:rFonts w:ascii="Aptos" w:hAnsi="Aptos" w:eastAsia="微软雅黑" w:cstheme="minorBidi"/>
      <w:sz w:val="21"/>
      <w:szCs w:val="22"/>
      <w:lang w:val="en-US" w:eastAsia="en-US" w:bidi="ar-SA"/>
    </w:rPr>
  </w:style>
  <w:style w:type="paragraph" w:styleId="3">
    <w:name w:val="heading 1"/>
    <w:basedOn w:val="1"/>
    <w:next w:val="1"/>
    <w:link w:val="139"/>
    <w:qFormat/>
    <w:uiPriority w:val="9"/>
    <w:pPr>
      <w:keepNext/>
      <w:keepLines/>
      <w:spacing w:before="320" w:after="14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40" w:after="10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180" w:after="80"/>
      <w:outlineLvl w:val="2"/>
    </w:pPr>
    <w:rPr>
      <w:rFonts w:asciiTheme="majorHAnsi" w:hAnsiTheme="majorHAnsi" w:eastAsiaTheme="majorEastAsia" w:cstheme="majorBidi"/>
      <w:b/>
      <w:bCs/>
      <w:color w:val="000000"/>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spacing w:after="240" w:line="240" w:lineRule="auto"/>
      <w:contextualSpacing/>
    </w:pPr>
    <w:rPr>
      <w:rFonts w:asciiTheme="majorHAnsi" w:hAnsiTheme="majorHAnsi" w:eastAsiaTheme="majorEastAsia" w:cstheme="majorBidi"/>
      <w:b/>
      <w:color w:val="000000"/>
      <w:spacing w:val="5"/>
      <w:kern w:val="28"/>
      <w:sz w:val="48"/>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9"/>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OC 1"/>
    <w:qFormat/>
    <w:uiPriority w:val="0"/>
    <w:pPr>
      <w:tabs>
        <w:tab w:val="right" w:leader="dot" w:pos="9411"/>
      </w:tabs>
      <w:spacing w:before="0" w:after="60" w:line="264" w:lineRule="auto"/>
    </w:pPr>
    <w:rPr>
      <w:rFonts w:ascii="Aptos" w:hAnsi="Aptos" w:eastAsia="微软雅黑" w:cstheme="minorBidi"/>
      <w:color w:val="00000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21618</Words>
  <Characters>22613</Characters>
  <Lines>0</Lines>
  <Paragraphs>0</Paragraphs>
  <TotalTime>0</TotalTime>
  <ScaleCrop>false</ScaleCrop>
  <LinksUpToDate>false</LinksUpToDate>
  <CharactersWithSpaces>23309</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ERP 项目组</dc:creator>
  <dc:description>generated by python-docx</dc:description>
  <cp:keywords>ERP-I003,预算优化,需求,测试</cp:keywords>
  <cp:lastModifiedBy>BS</cp:lastModifiedBy>
  <dcterms:modified xsi:type="dcterms:W3CDTF">2026-10-27T01:19:48Z</dcterms:modified>
  <dc:subject>预算优化研发与测试需求 V1.10</dc:subject>
  <dc:title>ERP-I003 预算优化详细需求说明</dc:title>
  <cp:revision>1</cp:revision>
  <cp:version>1.10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2D3E28D57AD84F549550675E751672B6_12</vt:lpwstr>
  </property>
  <property fmtid="{D5CDD505-2E9C-101B-9397-08002B2CF9AE}" pid="4" name="KSOTemplateDocerSaveRecord">
    <vt:lpwstr>eyJoZGlkIjoiNDJkZTYyMGQ2ZjAxOGNiZjFhNmJmM2E4N2IwZDg0OWQiLCJ1c2VySWQiOiI2MTA2ODM0NzcifQ==</vt:lpwstr>
  </property>
</Properties>
</file>