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A57" w:rsidRPr="00284A57" w:rsidRDefault="00284A57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b/>
          <w:color w:val="1A1A1A"/>
          <w:sz w:val="27"/>
          <w:szCs w:val="19"/>
          <w:u w:val="single"/>
          <w:lang w:val="es-MX"/>
        </w:rPr>
      </w:pPr>
      <w:r w:rsidRPr="00284A57">
        <w:rPr>
          <w:rFonts w:ascii="FrutigerLT-LightCn" w:hAnsi="FrutigerLT-LightCn" w:cs="FrutigerLT-LightCn"/>
          <w:b/>
          <w:color w:val="1A1A1A"/>
          <w:sz w:val="27"/>
          <w:szCs w:val="19"/>
          <w:u w:val="single"/>
          <w:lang w:val="es-MX"/>
        </w:rPr>
        <w:t xml:space="preserve">Comentario </w:t>
      </w:r>
      <w:r>
        <w:rPr>
          <w:rFonts w:ascii="FrutigerLT-LightCn" w:hAnsi="FrutigerLT-LightCn" w:cs="FrutigerLT-LightCn"/>
          <w:b/>
          <w:color w:val="1A1A1A"/>
          <w:sz w:val="27"/>
          <w:szCs w:val="19"/>
          <w:u w:val="single"/>
          <w:lang w:val="es-MX"/>
        </w:rPr>
        <w:t>L</w:t>
      </w:r>
      <w:r w:rsidRPr="00284A57">
        <w:rPr>
          <w:rFonts w:ascii="FrutigerLT-LightCn" w:hAnsi="FrutigerLT-LightCn" w:cs="FrutigerLT-LightCn"/>
          <w:b/>
          <w:color w:val="1A1A1A"/>
          <w:sz w:val="27"/>
          <w:szCs w:val="19"/>
          <w:u w:val="single"/>
          <w:lang w:val="es-MX"/>
        </w:rPr>
        <w:t>ore:</w:t>
      </w:r>
    </w:p>
    <w:p w:rsidR="00C9596B" w:rsidRDefault="00284A57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Estrategia y comunicación de la política monetaria </w:t>
      </w:r>
      <w:r w:rsidRPr="00284A57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sym w:font="Wingdings" w:char="F0E0"/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división que se preocupa de ver la redacción y que palabras específicamente se van a usar para la comunicación de la postura del banco respecto la política monetaria. </w:t>
      </w:r>
    </w:p>
    <w:p w:rsidR="00284A57" w:rsidRDefault="00284A57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1° párrafo contiene los argumentos de por qué moverías tasa. En general cuando se ocupan en todo el resumen palabras como “muy”, “bastante”, </w:t>
      </w:r>
      <w:proofErr w:type="spellStart"/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etc</w:t>
      </w:r>
      <w:proofErr w:type="spellEnd"/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esto tiene un significado bastante potenciador de la idea ya que el consejo efectivamente discute si debe usar este tipo de palabras o no. En este caso que digan un cierre más rápido de la brecha de producto es bastante </w:t>
      </w:r>
      <w:proofErr w:type="spellStart"/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hawk</w:t>
      </w:r>
      <w:proofErr w:type="spellEnd"/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según la </w:t>
      </w:r>
      <w:proofErr w:type="spellStart"/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lore</w:t>
      </w:r>
      <w:proofErr w:type="spellEnd"/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. </w:t>
      </w:r>
    </w:p>
    <w:p w:rsidR="00C9596B" w:rsidRDefault="00C9596B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284A57" w:rsidRPr="00284A57" w:rsidRDefault="00284A57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b/>
          <w:color w:val="1A1A1A"/>
          <w:sz w:val="27"/>
          <w:szCs w:val="19"/>
          <w:u w:val="single"/>
          <w:lang w:val="es-MX"/>
        </w:rPr>
      </w:pPr>
      <w:proofErr w:type="spellStart"/>
      <w:r w:rsidRPr="00284A57">
        <w:rPr>
          <w:rFonts w:ascii="FrutigerLT-LightCn" w:hAnsi="FrutigerLT-LightCn" w:cs="FrutigerLT-LightCn"/>
          <w:b/>
          <w:color w:val="1A1A1A"/>
          <w:sz w:val="27"/>
          <w:szCs w:val="19"/>
          <w:u w:val="single"/>
          <w:lang w:val="es-MX"/>
        </w:rPr>
        <w:t>IPoM</w:t>
      </w:r>
      <w:proofErr w:type="spellEnd"/>
      <w:r w:rsidRPr="00284A57">
        <w:rPr>
          <w:rFonts w:ascii="FrutigerLT-LightCn" w:hAnsi="FrutigerLT-LightCn" w:cs="FrutigerLT-LightCn"/>
          <w:b/>
          <w:color w:val="1A1A1A"/>
          <w:sz w:val="27"/>
          <w:szCs w:val="19"/>
          <w:u w:val="single"/>
          <w:lang w:val="es-MX"/>
        </w:rPr>
        <w:t xml:space="preserve"> de Septiembre</w:t>
      </w:r>
      <w:r w:rsidR="00264389">
        <w:rPr>
          <w:rFonts w:ascii="FrutigerLT-LightCn" w:hAnsi="FrutigerLT-LightCn" w:cs="FrutigerLT-LightCn"/>
          <w:b/>
          <w:color w:val="1A1A1A"/>
          <w:sz w:val="27"/>
          <w:szCs w:val="19"/>
          <w:u w:val="single"/>
          <w:lang w:val="es-MX"/>
        </w:rPr>
        <w:t xml:space="preserve"> 1° párrafo resumen</w:t>
      </w:r>
      <w:r>
        <w:rPr>
          <w:rFonts w:ascii="FrutigerLT-LightCn" w:hAnsi="FrutigerLT-LightCn" w:cs="FrutigerLT-LightCn"/>
          <w:b/>
          <w:color w:val="1A1A1A"/>
          <w:sz w:val="27"/>
          <w:szCs w:val="19"/>
          <w:u w:val="single"/>
          <w:lang w:val="es-MX"/>
        </w:rPr>
        <w:t>:</w:t>
      </w:r>
    </w:p>
    <w:p w:rsidR="00705EC2" w:rsidRP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highlight w:val="yellow"/>
          <w:lang w:val="es-MX"/>
        </w:rPr>
      </w:pP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Los datos conocidos a lo largo del año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highlight w:val="yellow"/>
          <w:lang w:val="es-MX"/>
        </w:rPr>
        <w:t>dan cuenta de un crecimiento económico</w:t>
      </w: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r w:rsidRPr="00705EC2">
        <w:rPr>
          <w:rFonts w:ascii="FrutigerLT-LightCn" w:hAnsi="FrutigerLT-LightCn" w:cs="FrutigerLT-LightCn"/>
          <w:b/>
          <w:color w:val="1A1A1A"/>
          <w:sz w:val="27"/>
          <w:szCs w:val="19"/>
          <w:highlight w:val="yellow"/>
          <w:u w:val="single"/>
          <w:lang w:val="es-MX"/>
        </w:rPr>
        <w:t>mayor al previsto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y de una inflación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highlight w:val="yellow"/>
          <w:lang w:val="es-MX"/>
        </w:rPr>
        <w:t xml:space="preserve">que ha consolidado sus perspectivas de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highlight w:val="yellow"/>
          <w:u w:val="single"/>
          <w:lang w:val="es-MX"/>
        </w:rPr>
        <w:t>convergencia a la meta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highlight w:val="yellow"/>
          <w:lang w:val="es-MX"/>
        </w:rPr>
        <w:t>.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Esto, en un contexto de sorpresas positivas en varios</w:t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sectores económicos, una </w:t>
      </w:r>
      <w:r w:rsidRPr="00705EC2">
        <w:rPr>
          <w:rFonts w:ascii="FrutigerLT-LightCn" w:hAnsi="FrutigerLT-LightCn" w:cs="FrutigerLT-LightCn"/>
          <w:b/>
          <w:color w:val="1A1A1A"/>
          <w:sz w:val="27"/>
          <w:szCs w:val="19"/>
          <w:highlight w:val="yellow"/>
          <w:u w:val="single"/>
          <w:lang w:val="es-MX"/>
        </w:rPr>
        <w:t>revisión al alza del crecimiento potencial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y un cierre</w:t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  <w:r w:rsidRPr="00705EC2">
        <w:rPr>
          <w:rFonts w:ascii="FrutigerLT-LightCn" w:hAnsi="FrutigerLT-LightCn" w:cs="FrutigerLT-LightCn"/>
          <w:b/>
          <w:color w:val="1A1A1A"/>
          <w:sz w:val="27"/>
          <w:szCs w:val="19"/>
          <w:highlight w:val="yellow"/>
          <w:u w:val="single"/>
          <w:lang w:val="es-MX"/>
        </w:rPr>
        <w:t>más rápido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de la brecha de actividad. </w:t>
      </w: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Respecto de la </w:t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i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nflación, la variación anual</w:t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del IPC aumentó hasta 2,7%, pero la del </w:t>
      </w:r>
      <w:r w:rsidRPr="00943E4A">
        <w:rPr>
          <w:rFonts w:ascii="FrutigerLT-LightCn" w:hAnsi="FrutigerLT-LightCn" w:cs="FrutigerLT-LightCn"/>
          <w:b/>
          <w:color w:val="1A1A1A"/>
          <w:sz w:val="27"/>
          <w:szCs w:val="19"/>
          <w:highlight w:val="cyan"/>
          <w:u w:val="single"/>
          <w:lang w:val="es-MX"/>
        </w:rPr>
        <w:t>IPCSAE sigue por debajo de 2%,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ambas</w:t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en línea con lo esperado. Los riesgos del escenario externo se han hecho </w:t>
      </w:r>
      <w:r w:rsidRPr="00943E4A">
        <w:rPr>
          <w:rFonts w:ascii="FrutigerLT-LightCn" w:hAnsi="FrutigerLT-LightCn" w:cs="FrutigerLT-LightCn"/>
          <w:b/>
          <w:color w:val="1A1A1A"/>
          <w:sz w:val="27"/>
          <w:szCs w:val="19"/>
          <w:highlight w:val="cyan"/>
          <w:lang w:val="es-MX"/>
        </w:rPr>
        <w:t>más presentes.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Se ha </w:t>
      </w:r>
      <w:r w:rsidRPr="00943E4A">
        <w:rPr>
          <w:rFonts w:ascii="FrutigerLT-LightCn" w:hAnsi="FrutigerLT-LightCn" w:cs="FrutigerLT-LightCn"/>
          <w:b/>
          <w:color w:val="1A1A1A"/>
          <w:sz w:val="27"/>
          <w:szCs w:val="19"/>
          <w:highlight w:val="cyan"/>
          <w:lang w:val="es-MX"/>
        </w:rPr>
        <w:t>intensificado</w:t>
      </w:r>
      <w:r w:rsidRPr="00943E4A">
        <w:rPr>
          <w:rFonts w:ascii="FrutigerLT-LightCn" w:hAnsi="FrutigerLT-LightCn" w:cs="FrutigerLT-LightCn"/>
          <w:b/>
          <w:color w:val="1A1A1A"/>
          <w:sz w:val="27"/>
          <w:szCs w:val="19"/>
          <w:lang w:val="es-MX"/>
        </w:rPr>
        <w:t xml:space="preserve">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el conflicto comercial entre </w:t>
      </w:r>
      <w:proofErr w:type="gramStart"/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EE.UU.</w:t>
      </w:r>
      <w:proofErr w:type="gramEnd"/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y China, lo</w:t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que junto al estado cíclico de la economía estadounidense y su diferencia con</w:t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el de otras economías desarrolladas, ha provocado una </w:t>
      </w:r>
      <w:r w:rsidRPr="00943E4A">
        <w:rPr>
          <w:rFonts w:ascii="FrutigerLT-LightCn" w:hAnsi="FrutigerLT-LightCn" w:cs="FrutigerLT-LightCn"/>
          <w:color w:val="1A1A1A"/>
          <w:sz w:val="27"/>
          <w:szCs w:val="19"/>
          <w:highlight w:val="yellow"/>
          <w:lang w:val="es-MX"/>
        </w:rPr>
        <w:t>apreciación global del dólar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y una </w:t>
      </w:r>
      <w:r w:rsidRPr="00943E4A">
        <w:rPr>
          <w:rFonts w:ascii="FrutigerLT-LightCn" w:hAnsi="FrutigerLT-LightCn" w:cs="FrutigerLT-LightCn"/>
          <w:color w:val="1A1A1A"/>
          <w:sz w:val="27"/>
          <w:szCs w:val="19"/>
          <w:highlight w:val="cyan"/>
          <w:lang w:val="es-MX"/>
        </w:rPr>
        <w:t>caída del precio de las materias primas.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705EC2" w:rsidRP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Todo esto ha afectado con</w:t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  <w:r w:rsidRPr="00943E4A">
        <w:rPr>
          <w:rFonts w:ascii="FrutigerLT-LightCn" w:hAnsi="FrutigerLT-LightCn" w:cs="FrutigerLT-LightCn"/>
          <w:b/>
          <w:color w:val="1A1A1A"/>
          <w:sz w:val="27"/>
          <w:szCs w:val="19"/>
          <w:highlight w:val="cyan"/>
          <w:u w:val="single"/>
          <w:lang w:val="es-MX"/>
        </w:rPr>
        <w:t>mayor fuerza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a aquellas </w:t>
      </w:r>
      <w:r w:rsidRPr="00943E4A">
        <w:rPr>
          <w:rFonts w:ascii="FrutigerLT-LightCn" w:hAnsi="FrutigerLT-LightCn" w:cs="FrutigerLT-LightCn"/>
          <w:color w:val="1A1A1A"/>
          <w:sz w:val="27"/>
          <w:szCs w:val="19"/>
          <w:highlight w:val="cyan"/>
          <w:lang w:val="es-MX"/>
        </w:rPr>
        <w:t>economías emergentes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que se perciben más vulnerables.</w:t>
      </w: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705EC2" w:rsidRP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Por ahora las proyecciones de crecimiento global han tenido cambios acotados.</w:t>
      </w:r>
    </w:p>
    <w:p w:rsidR="00705EC2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9D7149" w:rsidRDefault="00705EC2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b/>
          <w:color w:val="1A1A1A"/>
          <w:sz w:val="27"/>
          <w:szCs w:val="19"/>
          <w:highlight w:val="yellow"/>
          <w:u w:val="single"/>
          <w:lang w:val="es-MX"/>
        </w:rPr>
      </w:pP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En este contexto, el Consejo ha mantenido la TPM en 2,5% y ha comunicado</w:t>
      </w:r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</w:t>
      </w:r>
      <w:r w:rsidRPr="00705EC2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que, de mantenerse el escenario previsto, debería </w:t>
      </w:r>
      <w:r w:rsidRPr="00943E4A">
        <w:rPr>
          <w:rFonts w:ascii="FrutigerLT-LightCn" w:hAnsi="FrutigerLT-LightCn" w:cs="FrutigerLT-LightCn"/>
          <w:color w:val="1A1A1A"/>
          <w:sz w:val="27"/>
          <w:szCs w:val="19"/>
          <w:highlight w:val="yellow"/>
          <w:lang w:val="es-MX"/>
        </w:rPr>
        <w:t xml:space="preserve">comenzar a retirar el estímulo monetario en los </w:t>
      </w:r>
      <w:r w:rsidRPr="00943E4A">
        <w:rPr>
          <w:rFonts w:ascii="FrutigerLT-LightCn" w:hAnsi="FrutigerLT-LightCn" w:cs="FrutigerLT-LightCn"/>
          <w:b/>
          <w:color w:val="1A1A1A"/>
          <w:sz w:val="27"/>
          <w:szCs w:val="19"/>
          <w:highlight w:val="yellow"/>
          <w:u w:val="single"/>
          <w:lang w:val="es-MX"/>
        </w:rPr>
        <w:t>próximos meses.</w:t>
      </w:r>
    </w:p>
    <w:p w:rsidR="00D700B8" w:rsidRDefault="00D700B8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D700B8" w:rsidRDefault="00D700B8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D700B8" w:rsidRDefault="00D700B8" w:rsidP="00705EC2">
      <w:p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</w:p>
    <w:p w:rsidR="00D700B8" w:rsidRDefault="00D700B8" w:rsidP="00724F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r w:rsidRPr="00724F27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lastRenderedPageBreak/>
        <w:t>Capacidad instalada</w:t>
      </w:r>
    </w:p>
    <w:p w:rsidR="00724F27" w:rsidRPr="00724F27" w:rsidRDefault="00724F27" w:rsidP="00724F2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FrutigerLT-LightCn" w:hAnsi="FrutigerLT-LightCn" w:cs="FrutigerLT-LightCn"/>
          <w:color w:val="1A1A1A"/>
          <w:sz w:val="27"/>
          <w:szCs w:val="19"/>
          <w:lang w:val="es-MX"/>
        </w:rPr>
      </w:pPr>
      <w:proofErr w:type="gramStart"/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>Posición internacional neta?</w:t>
      </w:r>
      <w:proofErr w:type="gramEnd"/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 Por qué mencionan </w:t>
      </w:r>
      <w:r w:rsidR="00B0627C"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el ahorro de los hogares por </w:t>
      </w:r>
      <w:bookmarkStart w:id="0" w:name="_GoBack"/>
      <w:bookmarkEnd w:id="0"/>
      <w:r>
        <w:rPr>
          <w:rFonts w:ascii="FrutigerLT-LightCn" w:hAnsi="FrutigerLT-LightCn" w:cs="FrutigerLT-LightCn"/>
          <w:color w:val="1A1A1A"/>
          <w:sz w:val="27"/>
          <w:szCs w:val="19"/>
          <w:lang w:val="es-MX"/>
        </w:rPr>
        <w:t xml:space="preserve">la posición de las AFP en instrumentos líquidos de deuda internacional </w:t>
      </w:r>
    </w:p>
    <w:sectPr w:rsidR="00724F27" w:rsidRPr="00724F27" w:rsidSect="00C92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utigerLT-Light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842E7"/>
    <w:multiLevelType w:val="hybridMultilevel"/>
    <w:tmpl w:val="A7924074"/>
    <w:lvl w:ilvl="0" w:tplc="E738E49A">
      <w:numFmt w:val="bullet"/>
      <w:lvlText w:val="-"/>
      <w:lvlJc w:val="left"/>
      <w:pPr>
        <w:ind w:left="720" w:hanging="360"/>
      </w:pPr>
      <w:rPr>
        <w:rFonts w:ascii="FrutigerLT-LightCn" w:eastAsiaTheme="minorHAnsi" w:hAnsi="FrutigerLT-LightCn" w:cs="FrutigerLT-LightC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C2"/>
    <w:rsid w:val="00264389"/>
    <w:rsid w:val="00284A57"/>
    <w:rsid w:val="00501B79"/>
    <w:rsid w:val="006145D1"/>
    <w:rsid w:val="00705EC2"/>
    <w:rsid w:val="00724F27"/>
    <w:rsid w:val="00943E4A"/>
    <w:rsid w:val="009D7149"/>
    <w:rsid w:val="00B0627C"/>
    <w:rsid w:val="00C927E3"/>
    <w:rsid w:val="00C9596B"/>
    <w:rsid w:val="00D7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FECC"/>
  <w15:chartTrackingRefBased/>
  <w15:docId w15:val="{A3424DD5-D4DB-4318-A62F-A38626C1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4</cp:revision>
  <dcterms:created xsi:type="dcterms:W3CDTF">2018-09-24T18:19:00Z</dcterms:created>
  <dcterms:modified xsi:type="dcterms:W3CDTF">2018-09-25T20:01:00Z</dcterms:modified>
</cp:coreProperties>
</file>