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182" w:rsidRDefault="00B07AA3">
      <w:r>
        <w:t>Marcel Noviembre:</w:t>
      </w:r>
    </w:p>
    <w:p w:rsidR="00B07AA3" w:rsidRPr="00B07AA3" w:rsidRDefault="00B07AA3" w:rsidP="00B07AA3">
      <w:pPr>
        <w:pStyle w:val="Prrafodelista"/>
        <w:numPr>
          <w:ilvl w:val="0"/>
          <w:numId w:val="1"/>
        </w:numPr>
        <w:rPr>
          <w:rStyle w:val="A9"/>
          <w:rFonts w:cstheme="minorBidi"/>
          <w:color w:val="auto"/>
          <w:sz w:val="22"/>
          <w:szCs w:val="22"/>
        </w:rPr>
      </w:pPr>
      <w:r>
        <w:t>IPC de octubre solo presenta compensación parcial del dato de septiembre. “</w:t>
      </w:r>
      <w:r>
        <w:rPr>
          <w:rStyle w:val="A9"/>
        </w:rPr>
        <w:t xml:space="preserve">inflación </w:t>
      </w:r>
      <w:r>
        <w:rPr>
          <w:rStyle w:val="A9"/>
        </w:rPr>
        <w:t>compensa</w:t>
      </w:r>
      <w:r>
        <w:rPr>
          <w:rStyle w:val="A9"/>
        </w:rPr>
        <w:t xml:space="preserve"> en parte la sorpresa inflacionaria previa, pero no cambiaba necesariamente el balance de riesgos a la baja para la inflación en el corto plazo</w:t>
      </w:r>
      <w:r>
        <w:rPr>
          <w:rStyle w:val="A9"/>
        </w:rPr>
        <w:t xml:space="preserve">” </w:t>
      </w:r>
    </w:p>
    <w:p w:rsidR="00B07AA3" w:rsidRDefault="00B07AA3" w:rsidP="00B07AA3">
      <w:pPr>
        <w:numPr>
          <w:ilvl w:val="0"/>
          <w:numId w:val="1"/>
        </w:numPr>
        <w:spacing w:after="0" w:line="240" w:lineRule="auto"/>
        <w:rPr>
          <w:rFonts w:eastAsia="Times New Roman"/>
          <w:lang w:val="es-CL"/>
        </w:rPr>
      </w:pPr>
      <w:r>
        <w:rPr>
          <w:rFonts w:eastAsia="Times New Roman"/>
          <w:lang w:val="es-CL"/>
        </w:rPr>
        <w:t>“A su juicio, el escenario base que se iba delineando hacía que la opción de una rebaja de la TPM representaba ahora, más que un seguro, una señal para guiar al mercado en un período de particular incertidumbre sobre la evolución de los precios y la brecha, como lo podía ser el segundo trimestre del 2018”</w:t>
      </w:r>
    </w:p>
    <w:p w:rsidR="00B07AA3" w:rsidRDefault="00B07AA3" w:rsidP="00B07AA3">
      <w:pPr>
        <w:pStyle w:val="Prrafodelista"/>
        <w:numPr>
          <w:ilvl w:val="0"/>
          <w:numId w:val="1"/>
        </w:numPr>
      </w:pPr>
      <w:r>
        <w:t>“Único atenuante a la opción de baja de TPM era la reversión de tasas reales, lo permitía ganar tiempo para preparar el terreno ante una decisión futura”.</w:t>
      </w:r>
    </w:p>
    <w:p w:rsidR="00344158" w:rsidRDefault="00344158" w:rsidP="00344158">
      <w:pPr>
        <w:pStyle w:val="Prrafodelista"/>
      </w:pPr>
    </w:p>
    <w:p w:rsidR="00B07AA3" w:rsidRDefault="00344158" w:rsidP="00B07AA3">
      <w:r>
        <w:t>García:</w:t>
      </w:r>
    </w:p>
    <w:p w:rsidR="00344158" w:rsidRDefault="00344158" w:rsidP="00344158">
      <w:pPr>
        <w:pStyle w:val="Prrafodelista"/>
        <w:numPr>
          <w:ilvl w:val="0"/>
          <w:numId w:val="1"/>
        </w:numPr>
      </w:pPr>
      <w:r>
        <w:t>No ve diferencias respecto al escenario del mes pasado.</w:t>
      </w:r>
    </w:p>
    <w:p w:rsidR="00B07AA3" w:rsidRDefault="00344158" w:rsidP="00344158">
      <w:pPr>
        <w:pStyle w:val="Prrafodelista"/>
        <w:numPr>
          <w:ilvl w:val="0"/>
          <w:numId w:val="1"/>
        </w:numPr>
      </w:pPr>
      <w:r>
        <w:t>“</w:t>
      </w:r>
      <w:r w:rsidRPr="00344158">
        <w:rPr>
          <w:rFonts w:ascii="Berkeley LT Book" w:hAnsi="Berkeley LT Book" w:cs="Berkeley LT Book"/>
          <w:color w:val="000000"/>
          <w:sz w:val="20"/>
          <w:szCs w:val="20"/>
        </w:rPr>
        <w:t>creía relevante preguntarse qué trayectoria de TPM habría resultado en junio de alimentar el escenario de ese momento con lo que se había experimentado y se proyectaba en la actualidad. A su juicio, claramente, sería una TPM inferior a la actual</w:t>
      </w:r>
      <w:r>
        <w:rPr>
          <w:rFonts w:ascii="Berkeley LT Book" w:hAnsi="Berkeley LT Book" w:cs="Berkeley LT Book"/>
          <w:color w:val="000000"/>
          <w:sz w:val="20"/>
          <w:szCs w:val="20"/>
        </w:rPr>
        <w:t>”</w:t>
      </w:r>
    </w:p>
    <w:p w:rsidR="00344158" w:rsidRDefault="00344158" w:rsidP="00344158">
      <w:pPr>
        <w:numPr>
          <w:ilvl w:val="0"/>
          <w:numId w:val="1"/>
        </w:numPr>
        <w:spacing w:after="0" w:line="240" w:lineRule="auto"/>
        <w:rPr>
          <w:rFonts w:eastAsia="Times New Roman"/>
          <w:lang w:val="es-CL"/>
        </w:rPr>
      </w:pPr>
      <w:r>
        <w:rPr>
          <w:rFonts w:eastAsia="Times New Roman"/>
          <w:lang w:val="es-CL"/>
        </w:rPr>
        <w:t>“Por lo mismo, creía que no reaccionar con política monetaria luego de señalizar un balance de riesgos a la baja y un sesgo explícito a la baja daba una señal bastante clara de preferencias por el statu-quo, lo que, a su juicio, podía complicar la conducción futura de la política monetaria”</w:t>
      </w:r>
    </w:p>
    <w:p w:rsidR="00344158" w:rsidRDefault="00344158" w:rsidP="00344158">
      <w:pPr>
        <w:ind w:left="360"/>
        <w:rPr>
          <w:lang w:val="es-CL"/>
        </w:rPr>
      </w:pPr>
    </w:p>
    <w:p w:rsidR="00344158" w:rsidRDefault="00344158" w:rsidP="00344158">
      <w:pPr>
        <w:rPr>
          <w:lang w:val="es-CL"/>
        </w:rPr>
      </w:pPr>
      <w:r>
        <w:rPr>
          <w:lang w:val="es-CL"/>
        </w:rPr>
        <w:t>Minuta Oct:</w:t>
      </w:r>
    </w:p>
    <w:p w:rsidR="00344158" w:rsidRDefault="00344158" w:rsidP="00344158">
      <w:pPr>
        <w:rPr>
          <w:lang w:val="es-CL"/>
        </w:rPr>
      </w:pPr>
    </w:p>
    <w:p w:rsidR="00344158" w:rsidRDefault="00344158" w:rsidP="00344158">
      <w:pPr>
        <w:rPr>
          <w:lang w:val="es-CL"/>
        </w:rPr>
      </w:pPr>
      <w:r>
        <w:rPr>
          <w:lang w:val="es-CL"/>
        </w:rPr>
        <w:t xml:space="preserve">P </w:t>
      </w:r>
      <w:proofErr w:type="spellStart"/>
      <w:r>
        <w:rPr>
          <w:lang w:val="es-CL"/>
        </w:rPr>
        <w:t>Garcia</w:t>
      </w:r>
      <w:proofErr w:type="spellEnd"/>
      <w:r>
        <w:rPr>
          <w:lang w:val="es-CL"/>
        </w:rPr>
        <w:t>:</w:t>
      </w:r>
    </w:p>
    <w:p w:rsidR="00344158" w:rsidRDefault="00344158" w:rsidP="00344158">
      <w:pPr>
        <w:numPr>
          <w:ilvl w:val="0"/>
          <w:numId w:val="3"/>
        </w:numPr>
        <w:spacing w:after="0" w:line="240" w:lineRule="auto"/>
        <w:rPr>
          <w:rFonts w:eastAsia="Times New Roman"/>
          <w:lang w:val="es-CL"/>
        </w:rPr>
      </w:pPr>
      <w:r>
        <w:rPr>
          <w:rFonts w:eastAsia="Times New Roman"/>
          <w:lang w:val="es-CL"/>
        </w:rPr>
        <w:t xml:space="preserve">“Sin embargo, también creía que el mercado no lo había percibido así, pues enfatizaba más bien una cierta estrategia de mantención incondicional de la TPM, </w:t>
      </w:r>
      <w:proofErr w:type="spellStart"/>
      <w:r>
        <w:rPr>
          <w:rFonts w:eastAsia="Times New Roman"/>
          <w:lang w:val="es-CL"/>
        </w:rPr>
        <w:t>subponderando</w:t>
      </w:r>
      <w:proofErr w:type="spellEnd"/>
      <w:r>
        <w:rPr>
          <w:rFonts w:eastAsia="Times New Roman"/>
          <w:lang w:val="es-CL"/>
        </w:rPr>
        <w:t xml:space="preserve"> la importancia que el Consejo le dio al escenario de riesgo a la baja para la inflación. La poca reacción de las tasas nominales a la sorpresa del </w:t>
      </w:r>
      <w:proofErr w:type="spellStart"/>
      <w:r>
        <w:rPr>
          <w:rFonts w:eastAsia="Times New Roman"/>
          <w:lang w:val="es-CL"/>
        </w:rPr>
        <w:t>lPC</w:t>
      </w:r>
      <w:proofErr w:type="spellEnd"/>
      <w:r>
        <w:rPr>
          <w:rFonts w:eastAsia="Times New Roman"/>
          <w:lang w:val="es-CL"/>
        </w:rPr>
        <w:t>, a pesar de su significativa magnitud, era una prueba de ello.”</w:t>
      </w:r>
    </w:p>
    <w:p w:rsidR="00344158" w:rsidRDefault="00344158" w:rsidP="00344158">
      <w:pPr>
        <w:numPr>
          <w:ilvl w:val="0"/>
          <w:numId w:val="3"/>
        </w:numPr>
        <w:spacing w:after="0" w:line="240" w:lineRule="auto"/>
        <w:rPr>
          <w:rFonts w:eastAsia="Times New Roman"/>
          <w:lang w:val="es-CL"/>
        </w:rPr>
      </w:pPr>
      <w:r>
        <w:rPr>
          <w:rFonts w:eastAsia="Times New Roman"/>
          <w:lang w:val="es-CL"/>
        </w:rPr>
        <w:t>“Finalizó señalando que el único argumento que consideraba pertinente para mantener la TPM era acumular más información para poder evaluar si el movimiento a la baja debiese ser mayor que 25pb.”</w:t>
      </w:r>
    </w:p>
    <w:p w:rsidR="00344158" w:rsidRDefault="00344158" w:rsidP="00344158">
      <w:pPr>
        <w:rPr>
          <w:lang w:val="es-CL"/>
        </w:rPr>
      </w:pPr>
    </w:p>
    <w:p w:rsidR="00344158" w:rsidRDefault="00344158" w:rsidP="00344158">
      <w:pPr>
        <w:rPr>
          <w:lang w:val="es-CL"/>
        </w:rPr>
      </w:pPr>
      <w:r>
        <w:rPr>
          <w:lang w:val="es-CL"/>
        </w:rPr>
        <w:t>M Marcel:</w:t>
      </w:r>
    </w:p>
    <w:p w:rsidR="00344158" w:rsidRDefault="00344158" w:rsidP="00344158">
      <w:pPr>
        <w:numPr>
          <w:ilvl w:val="0"/>
          <w:numId w:val="2"/>
        </w:numPr>
        <w:spacing w:after="0" w:line="240" w:lineRule="auto"/>
        <w:rPr>
          <w:rFonts w:eastAsia="Times New Roman"/>
          <w:lang w:val="es-CL"/>
        </w:rPr>
      </w:pPr>
      <w:r>
        <w:rPr>
          <w:rFonts w:eastAsia="Times New Roman"/>
          <w:lang w:val="es-CL"/>
        </w:rPr>
        <w:t>“A su juicio, el tema más complejo para ajustar la TPM en esta Reunión eran las percepciones de mercado. Los cambios en las expectativas de crecimiento, pese a la congruencia del mensaje del Banco, habían llevado a descartar ajustes en la TPM y posiblemente habían presionado el tipo de cambio, ante lo cual se debía calibrar bien el mensaje de esta Reunión, tanto por acción como por comunicación”</w:t>
      </w:r>
    </w:p>
    <w:p w:rsidR="00344158" w:rsidRDefault="00344158" w:rsidP="00344158">
      <w:pPr>
        <w:numPr>
          <w:ilvl w:val="0"/>
          <w:numId w:val="2"/>
        </w:numPr>
        <w:spacing w:after="0" w:line="240" w:lineRule="auto"/>
        <w:rPr>
          <w:rFonts w:eastAsia="Times New Roman"/>
          <w:lang w:val="es-CL"/>
        </w:rPr>
      </w:pPr>
      <w:r>
        <w:rPr>
          <w:rFonts w:eastAsia="Times New Roman"/>
          <w:lang w:val="es-CL"/>
        </w:rPr>
        <w:lastRenderedPageBreak/>
        <w:t>“Por esta razón, creía que era más eficaz preparar al mercado para un ajuste posterior que actuar en esta Reunión de manera imprevista.”</w:t>
      </w:r>
    </w:p>
    <w:p w:rsidR="00344158" w:rsidRDefault="00344158" w:rsidP="00344158">
      <w:pPr>
        <w:ind w:left="360"/>
        <w:rPr>
          <w:lang w:val="es-CL"/>
        </w:rPr>
      </w:pPr>
    </w:p>
    <w:p w:rsidR="00011D69" w:rsidRDefault="00011D69" w:rsidP="00344158">
      <w:pPr>
        <w:ind w:left="360"/>
        <w:rPr>
          <w:lang w:val="es-CL"/>
        </w:rPr>
      </w:pPr>
    </w:p>
    <w:p w:rsidR="00011D69" w:rsidRDefault="00011D69" w:rsidP="00344158">
      <w:pPr>
        <w:ind w:left="360"/>
        <w:rPr>
          <w:lang w:val="es-CL"/>
        </w:rPr>
      </w:pPr>
    </w:p>
    <w:p w:rsidR="00011D69" w:rsidRDefault="00011D69" w:rsidP="00344158">
      <w:pPr>
        <w:ind w:left="360"/>
        <w:rPr>
          <w:lang w:val="es-CL"/>
        </w:rPr>
      </w:pPr>
    </w:p>
    <w:p w:rsidR="00011D69" w:rsidRDefault="00011D69" w:rsidP="00011D69">
      <w:r>
        <w:rPr>
          <w:lang w:val="es-CL"/>
        </w:rPr>
        <w:t>(</w:t>
      </w:r>
      <w:r>
        <w:t>Marcel minutas noviembre:</w:t>
      </w:r>
    </w:p>
    <w:p w:rsidR="00011D69" w:rsidRDefault="00011D69" w:rsidP="00011D69">
      <w:pPr>
        <w:pStyle w:val="Prrafodelista"/>
        <w:numPr>
          <w:ilvl w:val="0"/>
          <w:numId w:val="4"/>
        </w:numPr>
      </w:pPr>
      <w:r>
        <w:t xml:space="preserve">Opción de recorte de tasa estaría sustentada por un período más extendido de baja inflación. Preocupación sobre una posible persistencia de los shocks de precios, expectativas de inflación más bajas y lentitud de cierre de la brecha de actividad. Rebaja de TPM asoma como opción viable para guiar al mercado en este período de incertidumbre. </w:t>
      </w:r>
      <w:proofErr w:type="gramStart"/>
      <w:r>
        <w:t>Único atenuante</w:t>
      </w:r>
      <w:proofErr w:type="gramEnd"/>
      <w:r>
        <w:t xml:space="preserve"> es la reversión de tasas reales y expectativas de inflación a 2 años.</w:t>
      </w:r>
    </w:p>
    <w:p w:rsidR="00011D69" w:rsidRPr="00011D69" w:rsidRDefault="00011D69" w:rsidP="00344158">
      <w:pPr>
        <w:ind w:left="360"/>
      </w:pPr>
      <w:r>
        <w:t>)</w:t>
      </w:r>
      <w:bookmarkStart w:id="0" w:name="_GoBack"/>
      <w:bookmarkEnd w:id="0"/>
    </w:p>
    <w:sectPr w:rsidR="00011D69" w:rsidRPr="00011D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keley LT Book">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0316A"/>
    <w:multiLevelType w:val="hybridMultilevel"/>
    <w:tmpl w:val="6486F2DC"/>
    <w:lvl w:ilvl="0" w:tplc="9A482172">
      <w:start w:val="2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3918FB"/>
    <w:multiLevelType w:val="hybridMultilevel"/>
    <w:tmpl w:val="F884A7E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 w15:restartNumberingAfterBreak="0">
    <w:nsid w:val="6D774D49"/>
    <w:multiLevelType w:val="hybridMultilevel"/>
    <w:tmpl w:val="6FCEBFA4"/>
    <w:lvl w:ilvl="0" w:tplc="CFE2B2C2">
      <w:start w:val="2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06E2B"/>
    <w:multiLevelType w:val="hybridMultilevel"/>
    <w:tmpl w:val="877628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2"/>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A3"/>
    <w:rsid w:val="00011D69"/>
    <w:rsid w:val="00344158"/>
    <w:rsid w:val="00935182"/>
    <w:rsid w:val="00B07A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0B55"/>
  <w15:chartTrackingRefBased/>
  <w15:docId w15:val="{3E0FE518-911A-4630-AB51-9FD9C107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7AA3"/>
    <w:pPr>
      <w:ind w:left="720"/>
      <w:contextualSpacing/>
    </w:pPr>
  </w:style>
  <w:style w:type="character" w:customStyle="1" w:styleId="A9">
    <w:name w:val="A9"/>
    <w:uiPriority w:val="99"/>
    <w:rsid w:val="00B07AA3"/>
    <w:rPr>
      <w:rFonts w:cs="Berkeley LT Book"/>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32764">
      <w:bodyDiv w:val="1"/>
      <w:marLeft w:val="0"/>
      <w:marRight w:val="0"/>
      <w:marTop w:val="0"/>
      <w:marBottom w:val="0"/>
      <w:divBdr>
        <w:top w:val="none" w:sz="0" w:space="0" w:color="auto"/>
        <w:left w:val="none" w:sz="0" w:space="0" w:color="auto"/>
        <w:bottom w:val="none" w:sz="0" w:space="0" w:color="auto"/>
        <w:right w:val="none" w:sz="0" w:space="0" w:color="auto"/>
      </w:divBdr>
    </w:div>
    <w:div w:id="1832870449">
      <w:bodyDiv w:val="1"/>
      <w:marLeft w:val="0"/>
      <w:marRight w:val="0"/>
      <w:marTop w:val="0"/>
      <w:marBottom w:val="0"/>
      <w:divBdr>
        <w:top w:val="none" w:sz="0" w:space="0" w:color="auto"/>
        <w:left w:val="none" w:sz="0" w:space="0" w:color="auto"/>
        <w:bottom w:val="none" w:sz="0" w:space="0" w:color="auto"/>
        <w:right w:val="none" w:sz="0" w:space="0" w:color="auto"/>
      </w:divBdr>
    </w:div>
    <w:div w:id="204016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438</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Posch Ponce</dc:creator>
  <cp:keywords/>
  <dc:description/>
  <cp:lastModifiedBy>Diego Posch Ponce</cp:lastModifiedBy>
  <cp:revision>2</cp:revision>
  <dcterms:created xsi:type="dcterms:W3CDTF">2017-11-29T22:06:00Z</dcterms:created>
  <dcterms:modified xsi:type="dcterms:W3CDTF">2017-11-29T22:35:00Z</dcterms:modified>
</cp:coreProperties>
</file>