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A16" w:rsidRPr="008B3395" w:rsidRDefault="008B3395">
      <w:pPr>
        <w:rPr>
          <w:b/>
          <w:u w:val="single"/>
          <w:lang w:val="es-ES"/>
        </w:rPr>
      </w:pPr>
      <w:r w:rsidRPr="008B3395">
        <w:rPr>
          <w:b/>
          <w:u w:val="single"/>
          <w:lang w:val="es-ES"/>
        </w:rPr>
        <w:t>Renta estratégica</w:t>
      </w:r>
    </w:p>
    <w:p w:rsidR="00446D97" w:rsidRDefault="00C70A16">
      <w:pPr>
        <w:rPr>
          <w:lang w:val="es-ES"/>
        </w:rPr>
      </w:pPr>
      <w:r>
        <w:rPr>
          <w:lang w:val="es-ES"/>
        </w:rPr>
        <w:t xml:space="preserve">Durante diciembre el precio del petróleo continuó su caída depreciando alrededor de 11%. Esto siguió impactando en las perspectivas de inflación evidenciándose una caída del </w:t>
      </w:r>
      <w:proofErr w:type="spellStart"/>
      <w:r>
        <w:rPr>
          <w:lang w:val="es-ES"/>
        </w:rPr>
        <w:t>breakeven</w:t>
      </w:r>
      <w:proofErr w:type="spellEnd"/>
      <w:r>
        <w:rPr>
          <w:lang w:val="es-ES"/>
        </w:rPr>
        <w:t xml:space="preserve"> desde niveles de 2.75% a 2.6% a dos años. Por otro </w:t>
      </w:r>
      <w:proofErr w:type="gramStart"/>
      <w:r>
        <w:rPr>
          <w:lang w:val="es-ES"/>
        </w:rPr>
        <w:t>lado</w:t>
      </w:r>
      <w:proofErr w:type="gramEnd"/>
      <w:r>
        <w:rPr>
          <w:lang w:val="es-ES"/>
        </w:rPr>
        <w:t xml:space="preserve"> </w:t>
      </w:r>
      <w:r w:rsidR="00133B59">
        <w:rPr>
          <w:lang w:val="es-ES"/>
        </w:rPr>
        <w:t xml:space="preserve">el </w:t>
      </w:r>
      <w:proofErr w:type="spellStart"/>
      <w:r w:rsidR="00133B59">
        <w:rPr>
          <w:lang w:val="es-ES"/>
        </w:rPr>
        <w:t>BCCh</w:t>
      </w:r>
      <w:proofErr w:type="spellEnd"/>
      <w:r w:rsidR="00133B59">
        <w:rPr>
          <w:lang w:val="es-ES"/>
        </w:rPr>
        <w:t xml:space="preserve"> en su </w:t>
      </w:r>
      <w:proofErr w:type="spellStart"/>
      <w:r w:rsidR="00133B59">
        <w:rPr>
          <w:lang w:val="es-ES"/>
        </w:rPr>
        <w:t>IPoM</w:t>
      </w:r>
      <w:proofErr w:type="spellEnd"/>
      <w:r w:rsidR="00133B59">
        <w:rPr>
          <w:lang w:val="es-ES"/>
        </w:rPr>
        <w:t xml:space="preserve"> de Diciembre anticipa una dinámica inflacionaria más lenta para la convergencia de la meta, señalando que esta volvería al 3% durante 2020 (previamente 2019). </w:t>
      </w:r>
      <w:r w:rsidR="00AB43A4">
        <w:rPr>
          <w:lang w:val="es-ES"/>
        </w:rPr>
        <w:t xml:space="preserve"> En términos de actividad mantienen sus perspectivas para 2019-2020 y en términos de política monetaria reafirman como supuesto de trabajo el retiro del estímulo monetario llegando a</w:t>
      </w:r>
      <w:r w:rsidR="0054762B">
        <w:rPr>
          <w:lang w:val="es-ES"/>
        </w:rPr>
        <w:t xml:space="preserve"> niveles de tasa neutral hacia la primera parte de 2020, lo que implicaría cuatro alzas durante 2019. A fines de mes el mercado se muestra bastante desalineado de ese escenario, donde las tasas de política monetaria implícitas en los swaps muestran solo dos alzas. A fines de mes el fondo contaba con una duración de 3.02 años y un </w:t>
      </w:r>
      <w:proofErr w:type="spellStart"/>
      <w:r w:rsidR="0054762B">
        <w:rPr>
          <w:lang w:val="es-ES"/>
        </w:rPr>
        <w:t>allocat</w:t>
      </w:r>
      <w:r w:rsidR="008B3395">
        <w:rPr>
          <w:lang w:val="es-ES"/>
        </w:rPr>
        <w:t>ion</w:t>
      </w:r>
      <w:proofErr w:type="spellEnd"/>
      <w:r w:rsidR="008B3395">
        <w:rPr>
          <w:lang w:val="es-ES"/>
        </w:rPr>
        <w:t xml:space="preserve"> de 61% en UF y 39% en pesos.</w:t>
      </w:r>
    </w:p>
    <w:p w:rsidR="008B3395" w:rsidRDefault="008B3395">
      <w:pPr>
        <w:rPr>
          <w:lang w:val="es-ES"/>
        </w:rPr>
      </w:pPr>
    </w:p>
    <w:p w:rsidR="008B3395" w:rsidRDefault="008B3395">
      <w:pPr>
        <w:rPr>
          <w:b/>
          <w:u w:val="single"/>
          <w:lang w:val="es-ES"/>
        </w:rPr>
      </w:pPr>
      <w:r w:rsidRPr="008B3395">
        <w:rPr>
          <w:b/>
          <w:u w:val="single"/>
          <w:lang w:val="es-ES"/>
        </w:rPr>
        <w:t>Macro 1.5</w:t>
      </w:r>
    </w:p>
    <w:p w:rsidR="00415582" w:rsidRDefault="00415582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IPoM</w:t>
      </w:r>
      <w:proofErr w:type="spellEnd"/>
      <w:r>
        <w:rPr>
          <w:lang w:val="es-ES"/>
        </w:rPr>
        <w:t xml:space="preserve"> de Diciembre del </w:t>
      </w:r>
      <w:proofErr w:type="spellStart"/>
      <w:r>
        <w:rPr>
          <w:lang w:val="es-ES"/>
        </w:rPr>
        <w:t>BCCh</w:t>
      </w:r>
      <w:proofErr w:type="spellEnd"/>
      <w:r>
        <w:rPr>
          <w:lang w:val="es-ES"/>
        </w:rPr>
        <w:t xml:space="preserve"> planteó un escenario inflacionario algo más lento, donde la entidad espera que la inflación converja a niveles de 3% hacia 2020 (previamente 2019), apoyado en un precio del petróleo que ha caído con fuerza desde noviembre. Por otro </w:t>
      </w:r>
      <w:proofErr w:type="gramStart"/>
      <w:r>
        <w:rPr>
          <w:lang w:val="es-ES"/>
        </w:rPr>
        <w:t>lado</w:t>
      </w:r>
      <w:proofErr w:type="gramEnd"/>
      <w:r>
        <w:rPr>
          <w:lang w:val="es-ES"/>
        </w:rPr>
        <w:t xml:space="preserve"> la inflación conocida durante el mes de cero junto con los forwards de inflación en terreno negativo para el próximo mes han hecho disminuir el apetito por UF y caer los </w:t>
      </w:r>
      <w:proofErr w:type="spellStart"/>
      <w:r>
        <w:rPr>
          <w:lang w:val="es-ES"/>
        </w:rPr>
        <w:t>breakevens</w:t>
      </w:r>
      <w:proofErr w:type="spellEnd"/>
      <w:r>
        <w:rPr>
          <w:lang w:val="es-ES"/>
        </w:rPr>
        <w:t xml:space="preserve"> alrededor de 15 puntos base. En este sentido el fondo obtuvo rendimientos positivos de la posición corta </w:t>
      </w:r>
      <w:proofErr w:type="spellStart"/>
      <w:r>
        <w:rPr>
          <w:lang w:val="es-ES"/>
        </w:rPr>
        <w:t>breakeven</w:t>
      </w:r>
      <w:proofErr w:type="spellEnd"/>
      <w:r>
        <w:rPr>
          <w:lang w:val="es-ES"/>
        </w:rPr>
        <w:t xml:space="preserve"> a 2 años en la curva swap. A fin de mes el fondo contaba con una duración </w:t>
      </w:r>
      <w:r w:rsidR="009F3A8F">
        <w:rPr>
          <w:lang w:val="es-ES"/>
        </w:rPr>
        <w:t>de 0.8 años y manteniendo su exposición a tasas soberanos 10 años en Perú.</w:t>
      </w:r>
    </w:p>
    <w:p w:rsidR="009F3A8F" w:rsidRDefault="009F3A8F">
      <w:pPr>
        <w:rPr>
          <w:lang w:val="es-ES"/>
        </w:rPr>
      </w:pPr>
    </w:p>
    <w:p w:rsidR="009F3A8F" w:rsidRPr="009F3A8F" w:rsidRDefault="009F3A8F">
      <w:pPr>
        <w:rPr>
          <w:b/>
          <w:u w:val="single"/>
          <w:lang w:val="es-ES"/>
        </w:rPr>
      </w:pPr>
      <w:r w:rsidRPr="009F3A8F">
        <w:rPr>
          <w:b/>
          <w:u w:val="single"/>
          <w:lang w:val="es-ES"/>
        </w:rPr>
        <w:t>Macro 3</w:t>
      </w:r>
    </w:p>
    <w:p w:rsidR="00137F8D" w:rsidRDefault="009F3A8F" w:rsidP="009F3A8F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IPoM</w:t>
      </w:r>
      <w:proofErr w:type="spellEnd"/>
      <w:r>
        <w:rPr>
          <w:lang w:val="es-ES"/>
        </w:rPr>
        <w:t xml:space="preserve"> de Diciembre del </w:t>
      </w:r>
      <w:proofErr w:type="spellStart"/>
      <w:r>
        <w:rPr>
          <w:lang w:val="es-ES"/>
        </w:rPr>
        <w:t>BCCh</w:t>
      </w:r>
      <w:proofErr w:type="spellEnd"/>
      <w:r>
        <w:rPr>
          <w:lang w:val="es-ES"/>
        </w:rPr>
        <w:t xml:space="preserve"> planteó un escenario inflacionario algo más lento, donde la entidad espera que la inflación converja a niveles de 3% hacia 2020 (previamente 2019), apoyado en un precio del petróleo que ha caído con fuerza desde noviembre. Por otro </w:t>
      </w:r>
      <w:proofErr w:type="gramStart"/>
      <w:r>
        <w:rPr>
          <w:lang w:val="es-ES"/>
        </w:rPr>
        <w:t>lado</w:t>
      </w:r>
      <w:proofErr w:type="gramEnd"/>
      <w:r>
        <w:rPr>
          <w:lang w:val="es-ES"/>
        </w:rPr>
        <w:t xml:space="preserve"> la inflación conocida durante el mes de cero junto con los forwards de inflación en terreno negativo para el próximo mes han hecho disminuir el apetito por UF y caer los </w:t>
      </w:r>
      <w:proofErr w:type="spellStart"/>
      <w:r>
        <w:rPr>
          <w:lang w:val="es-ES"/>
        </w:rPr>
        <w:t>breakevens</w:t>
      </w:r>
      <w:proofErr w:type="spellEnd"/>
      <w:r>
        <w:rPr>
          <w:lang w:val="es-ES"/>
        </w:rPr>
        <w:t xml:space="preserve"> alrededor de 15 puntos base.</w:t>
      </w:r>
      <w:r>
        <w:rPr>
          <w:lang w:val="es-ES"/>
        </w:rPr>
        <w:t xml:space="preserve"> El principal </w:t>
      </w:r>
      <w:proofErr w:type="spellStart"/>
      <w:r w:rsidRPr="009F3A8F">
        <w:rPr>
          <w:i/>
          <w:lang w:val="es-ES"/>
        </w:rPr>
        <w:t>trade</w:t>
      </w:r>
      <w:proofErr w:type="spellEnd"/>
      <w:r>
        <w:rPr>
          <w:lang w:val="es-ES"/>
        </w:rPr>
        <w:t xml:space="preserve"> del fondo es un </w:t>
      </w:r>
      <w:r>
        <w:rPr>
          <w:i/>
          <w:lang w:val="es-ES"/>
        </w:rPr>
        <w:t xml:space="preserve">short </w:t>
      </w:r>
      <w:proofErr w:type="spellStart"/>
      <w:r>
        <w:rPr>
          <w:i/>
          <w:lang w:val="es-ES"/>
        </w:rPr>
        <w:t>breakeven</w:t>
      </w:r>
      <w:proofErr w:type="spellEnd"/>
      <w:r>
        <w:rPr>
          <w:i/>
          <w:lang w:val="es-ES"/>
        </w:rPr>
        <w:t xml:space="preserve"> </w:t>
      </w:r>
      <w:r>
        <w:rPr>
          <w:lang w:val="es-ES"/>
        </w:rPr>
        <w:t xml:space="preserve">a dos años en la curva swap el que se ha visto beneficiado tanto por esta caída de 15 bps como el atractivo </w:t>
      </w:r>
      <w:proofErr w:type="spellStart"/>
      <w:r w:rsidRPr="009F3A8F">
        <w:rPr>
          <w:i/>
          <w:lang w:val="es-ES"/>
        </w:rPr>
        <w:t>carry</w:t>
      </w:r>
      <w:proofErr w:type="spellEnd"/>
      <w:r>
        <w:rPr>
          <w:lang w:val="es-ES"/>
        </w:rPr>
        <w:t xml:space="preserve"> positivo que presenta. </w:t>
      </w:r>
      <w:r>
        <w:rPr>
          <w:lang w:val="es-ES"/>
        </w:rPr>
        <w:t>A fin de mes el fondo contaba con una duración de 0.8 años y manteniendo su exposición a tasas soberan</w:t>
      </w:r>
      <w:r>
        <w:rPr>
          <w:lang w:val="es-ES"/>
        </w:rPr>
        <w:t xml:space="preserve">as de Perú a 10 años sin exposición a moneda, </w:t>
      </w:r>
      <w:proofErr w:type="spellStart"/>
      <w:r>
        <w:rPr>
          <w:lang w:val="es-ES"/>
        </w:rPr>
        <w:t>trade</w:t>
      </w:r>
      <w:proofErr w:type="spellEnd"/>
      <w:r>
        <w:rPr>
          <w:lang w:val="es-ES"/>
        </w:rPr>
        <w:t xml:space="preserve"> que representa el 11% del fondo. </w:t>
      </w:r>
    </w:p>
    <w:p w:rsidR="00650C98" w:rsidRDefault="00650C98" w:rsidP="009F3A8F">
      <w:pPr>
        <w:rPr>
          <w:lang w:val="es-ES"/>
        </w:rPr>
      </w:pPr>
    </w:p>
    <w:p w:rsidR="00650C98" w:rsidRPr="00650C98" w:rsidRDefault="00650C98" w:rsidP="009F3A8F">
      <w:pPr>
        <w:rPr>
          <w:b/>
          <w:u w:val="single"/>
          <w:lang w:val="es-ES"/>
        </w:rPr>
      </w:pPr>
      <w:r w:rsidRPr="00650C98">
        <w:rPr>
          <w:b/>
          <w:u w:val="single"/>
          <w:lang w:val="es-ES"/>
        </w:rPr>
        <w:t>E-plus</w:t>
      </w:r>
    </w:p>
    <w:p w:rsidR="00115314" w:rsidRDefault="00650C98" w:rsidP="009F3A8F">
      <w:pPr>
        <w:rPr>
          <w:lang w:val="es-ES"/>
        </w:rPr>
      </w:pPr>
      <w:r>
        <w:rPr>
          <w:lang w:val="es-ES"/>
        </w:rPr>
        <w:t xml:space="preserve">Durante Diciembre las tasas largas fue la parte de la curva donde se observaron mejores rendimientos, apoyadas en una fuerte caída del </w:t>
      </w:r>
      <w:proofErr w:type="spellStart"/>
      <w:r>
        <w:rPr>
          <w:lang w:val="es-ES"/>
        </w:rPr>
        <w:t>Treasury</w:t>
      </w:r>
      <w:proofErr w:type="spellEnd"/>
      <w:r>
        <w:rPr>
          <w:lang w:val="es-ES"/>
        </w:rPr>
        <w:t xml:space="preserve"> de 35 </w:t>
      </w:r>
      <w:proofErr w:type="spellStart"/>
      <w:r>
        <w:rPr>
          <w:lang w:val="es-ES"/>
        </w:rPr>
        <w:t>pbs</w:t>
      </w:r>
      <w:proofErr w:type="spellEnd"/>
      <w:r>
        <w:rPr>
          <w:lang w:val="es-ES"/>
        </w:rPr>
        <w:t xml:space="preserve"> a 10 años y de un mercado que está </w:t>
      </w:r>
      <w:proofErr w:type="spellStart"/>
      <w:r>
        <w:rPr>
          <w:lang w:val="es-ES"/>
        </w:rPr>
        <w:t>priceando</w:t>
      </w:r>
      <w:proofErr w:type="spellEnd"/>
      <w:r>
        <w:rPr>
          <w:lang w:val="es-ES"/>
        </w:rPr>
        <w:t xml:space="preserve"> un escenario muy distinto al escenario base del Banco Central, el cual planea llegar al nivel de 4-4.5% en la primera parte de 2020, mientras que el mercado está </w:t>
      </w:r>
      <w:proofErr w:type="spellStart"/>
      <w:r>
        <w:rPr>
          <w:lang w:val="es-ES"/>
        </w:rPr>
        <w:t>priceando</w:t>
      </w:r>
      <w:proofErr w:type="spellEnd"/>
      <w:r>
        <w:rPr>
          <w:lang w:val="es-ES"/>
        </w:rPr>
        <w:t xml:space="preserve"> en la </w:t>
      </w:r>
      <w:r>
        <w:rPr>
          <w:lang w:val="es-ES"/>
        </w:rPr>
        <w:lastRenderedPageBreak/>
        <w:t xml:space="preserve">curva swap una </w:t>
      </w:r>
      <w:proofErr w:type="spellStart"/>
      <w:r>
        <w:rPr>
          <w:lang w:val="es-ES"/>
        </w:rPr>
        <w:t>tpm</w:t>
      </w:r>
      <w:proofErr w:type="spellEnd"/>
      <w:r>
        <w:rPr>
          <w:lang w:val="es-ES"/>
        </w:rPr>
        <w:t xml:space="preserve"> en el orden de 3.25%-3.5% a ese mismo horizonte. Por otro </w:t>
      </w:r>
      <w:proofErr w:type="gramStart"/>
      <w:r>
        <w:rPr>
          <w:lang w:val="es-ES"/>
        </w:rPr>
        <w:t>lado</w:t>
      </w:r>
      <w:proofErr w:type="gramEnd"/>
      <w:r>
        <w:rPr>
          <w:lang w:val="es-ES"/>
        </w:rPr>
        <w:t xml:space="preserve"> durante el mes el </w:t>
      </w:r>
      <w:proofErr w:type="spellStart"/>
      <w:r>
        <w:rPr>
          <w:lang w:val="es-ES"/>
        </w:rPr>
        <w:t>BCCh</w:t>
      </w:r>
      <w:proofErr w:type="spellEnd"/>
      <w:r>
        <w:rPr>
          <w:lang w:val="es-ES"/>
        </w:rPr>
        <w:t xml:space="preserve"> presentó su informe de política monetaria en el que</w:t>
      </w:r>
      <w:r w:rsidR="00115314">
        <w:rPr>
          <w:lang w:val="es-ES"/>
        </w:rPr>
        <w:t xml:space="preserve"> muestra una dinámica inflacionaria más lenta que lo prevista inicialmente, donde convergiría a le meta del 3% hacia 2020. Dado esto e inflaciones pocos atractivas en forwards de UF el mercado ha mostrado poco apetito por papeles indexados a inflación, sobre todo en la parte corta donde se ha castigado mayormente los </w:t>
      </w:r>
      <w:proofErr w:type="spellStart"/>
      <w:r w:rsidR="00115314">
        <w:rPr>
          <w:lang w:val="es-ES"/>
        </w:rPr>
        <w:t>breakevens</w:t>
      </w:r>
      <w:proofErr w:type="spellEnd"/>
      <w:r w:rsidR="00115314">
        <w:rPr>
          <w:lang w:val="es-ES"/>
        </w:rPr>
        <w:t xml:space="preserve">. </w:t>
      </w:r>
      <w:r w:rsidR="00830C39">
        <w:rPr>
          <w:lang w:val="es-ES"/>
        </w:rPr>
        <w:t xml:space="preserve">Al cierre de diciembre el fondo contaba con una duración de 6 años </w:t>
      </w:r>
      <w:proofErr w:type="spellStart"/>
      <w:r w:rsidR="00830C39">
        <w:rPr>
          <w:lang w:val="es-ES"/>
        </w:rPr>
        <w:t>aprox</w:t>
      </w:r>
      <w:proofErr w:type="spellEnd"/>
      <w:r w:rsidR="00830C39">
        <w:rPr>
          <w:lang w:val="es-ES"/>
        </w:rPr>
        <w:t xml:space="preserve"> obteniendo una rentabilidad de 1.08% </w:t>
      </w:r>
      <w:proofErr w:type="spellStart"/>
      <w:r w:rsidR="00830C39">
        <w:rPr>
          <w:lang w:val="es-ES"/>
        </w:rPr>
        <w:t>excomisión</w:t>
      </w:r>
      <w:proofErr w:type="spellEnd"/>
      <w:r w:rsidR="00830C39">
        <w:rPr>
          <w:lang w:val="es-ES"/>
        </w:rPr>
        <w:t xml:space="preserve"> frente a un promedio de </w:t>
      </w:r>
      <w:proofErr w:type="spellStart"/>
      <w:proofErr w:type="gramStart"/>
      <w:r w:rsidR="00830C39">
        <w:rPr>
          <w:lang w:val="es-ES"/>
        </w:rPr>
        <w:t>AFP’s</w:t>
      </w:r>
      <w:proofErr w:type="spellEnd"/>
      <w:r w:rsidR="00830C39">
        <w:rPr>
          <w:lang w:val="es-ES"/>
        </w:rPr>
        <w:t xml:space="preserve">  que</w:t>
      </w:r>
      <w:proofErr w:type="gramEnd"/>
      <w:r w:rsidR="00830C39">
        <w:rPr>
          <w:lang w:val="es-ES"/>
        </w:rPr>
        <w:t xml:space="preserve"> se ubicó en 1.03%.</w:t>
      </w:r>
    </w:p>
    <w:p w:rsidR="00830C39" w:rsidRDefault="00830C39" w:rsidP="009F3A8F">
      <w:pPr>
        <w:rPr>
          <w:b/>
          <w:u w:val="single"/>
          <w:lang w:val="es-ES"/>
        </w:rPr>
      </w:pPr>
      <w:r w:rsidRPr="00830C39">
        <w:rPr>
          <w:b/>
          <w:u w:val="single"/>
          <w:lang w:val="es-ES"/>
        </w:rPr>
        <w:t>Argentina</w:t>
      </w:r>
    </w:p>
    <w:p w:rsidR="004A682A" w:rsidRPr="002D65B2" w:rsidRDefault="002D65B2" w:rsidP="009F3A8F">
      <w:pPr>
        <w:rPr>
          <w:lang w:val="es-ES"/>
        </w:rPr>
      </w:pPr>
      <w:r>
        <w:rPr>
          <w:lang w:val="es-ES"/>
        </w:rPr>
        <w:t xml:space="preserve">Durante el mes el peso argentino estuvo bastante plano favoreciendo las estrategias de </w:t>
      </w:r>
      <w:proofErr w:type="spellStart"/>
      <w:r w:rsidRPr="00DE70C5">
        <w:rPr>
          <w:i/>
          <w:lang w:val="es-ES"/>
        </w:rPr>
        <w:t>carry</w:t>
      </w:r>
      <w:proofErr w:type="spellEnd"/>
      <w:r>
        <w:rPr>
          <w:lang w:val="es-ES"/>
        </w:rPr>
        <w:t xml:space="preserve"> </w:t>
      </w:r>
      <w:proofErr w:type="spellStart"/>
      <w:r w:rsidRPr="00DE70C5">
        <w:rPr>
          <w:i/>
          <w:lang w:val="es-ES"/>
        </w:rPr>
        <w:t>trade</w:t>
      </w:r>
      <w:proofErr w:type="spellEnd"/>
      <w:r>
        <w:rPr>
          <w:lang w:val="es-ES"/>
        </w:rPr>
        <w:t xml:space="preserve">, concretamente tuvo un movimiento </w:t>
      </w:r>
      <w:proofErr w:type="spellStart"/>
      <w:r>
        <w:rPr>
          <w:lang w:val="es-ES"/>
        </w:rPr>
        <w:t>apreciatorio</w:t>
      </w:r>
      <w:proofErr w:type="spellEnd"/>
      <w:r>
        <w:rPr>
          <w:lang w:val="es-ES"/>
        </w:rPr>
        <w:t xml:space="preserve"> de 13 bps durante el mes. En términos de tasa </w:t>
      </w:r>
      <w:r w:rsidR="00BE71B8">
        <w:rPr>
          <w:lang w:val="es-ES"/>
        </w:rPr>
        <w:t xml:space="preserve">el BCRA le dio una pausa a la baja constante </w:t>
      </w:r>
      <w:r w:rsidR="00DE70C5">
        <w:rPr>
          <w:lang w:val="es-ES"/>
        </w:rPr>
        <w:t xml:space="preserve">que se observó en las </w:t>
      </w:r>
      <w:proofErr w:type="spellStart"/>
      <w:r w:rsidR="00DE70C5">
        <w:rPr>
          <w:lang w:val="es-ES"/>
        </w:rPr>
        <w:t>leliq</w:t>
      </w:r>
      <w:proofErr w:type="spellEnd"/>
      <w:r w:rsidR="00DE70C5">
        <w:rPr>
          <w:lang w:val="es-ES"/>
        </w:rPr>
        <w:t xml:space="preserve"> durante noviembre</w:t>
      </w:r>
      <w:r w:rsidR="002C2468">
        <w:rPr>
          <w:lang w:val="es-ES"/>
        </w:rPr>
        <w:t xml:space="preserve"> apoyado en la disminución en las expectativas de inflación</w:t>
      </w:r>
      <w:r w:rsidR="00DE70C5">
        <w:rPr>
          <w:lang w:val="es-ES"/>
        </w:rPr>
        <w:t xml:space="preserve">, dejando la </w:t>
      </w:r>
      <w:proofErr w:type="spellStart"/>
      <w:r w:rsidR="00DE70C5">
        <w:rPr>
          <w:lang w:val="es-ES"/>
        </w:rPr>
        <w:t>tpm</w:t>
      </w:r>
      <w:proofErr w:type="spellEnd"/>
      <w:r w:rsidR="00DE70C5">
        <w:rPr>
          <w:lang w:val="es-ES"/>
        </w:rPr>
        <w:t xml:space="preserve"> prácticamente inalterada durante todo el mes</w:t>
      </w:r>
      <w:r w:rsidR="002C2468">
        <w:rPr>
          <w:lang w:val="es-ES"/>
        </w:rPr>
        <w:t xml:space="preserve"> en niveles de 59</w:t>
      </w:r>
      <w:proofErr w:type="gramStart"/>
      <w:r w:rsidR="002C2468">
        <w:rPr>
          <w:lang w:val="es-ES"/>
        </w:rPr>
        <w:t>%..</w:t>
      </w:r>
      <w:proofErr w:type="gramEnd"/>
      <w:r w:rsidR="002C2468">
        <w:rPr>
          <w:lang w:val="es-ES"/>
        </w:rPr>
        <w:t xml:space="preserve"> Esto</w:t>
      </w:r>
      <w:r w:rsidR="0089101B">
        <w:rPr>
          <w:lang w:val="es-ES"/>
        </w:rPr>
        <w:t xml:space="preserve"> l</w:t>
      </w:r>
      <w:r w:rsidR="002C2468">
        <w:rPr>
          <w:lang w:val="es-ES"/>
        </w:rPr>
        <w:t>e</w:t>
      </w:r>
      <w:r w:rsidR="0089101B">
        <w:rPr>
          <w:lang w:val="es-ES"/>
        </w:rPr>
        <w:t xml:space="preserve"> dio soporte a la moneda a pesar del crecimiento de </w:t>
      </w:r>
      <w:r w:rsidR="002C2468">
        <w:rPr>
          <w:lang w:val="es-ES"/>
        </w:rPr>
        <w:t xml:space="preserve">ARS </w:t>
      </w:r>
      <w:r w:rsidR="0089101B">
        <w:rPr>
          <w:lang w:val="es-ES"/>
        </w:rPr>
        <w:t xml:space="preserve">200 </w:t>
      </w:r>
      <w:proofErr w:type="spellStart"/>
      <w:r w:rsidR="0089101B">
        <w:rPr>
          <w:lang w:val="es-ES"/>
        </w:rPr>
        <w:t>bns</w:t>
      </w:r>
      <w:proofErr w:type="spellEnd"/>
      <w:r w:rsidR="0089101B">
        <w:rPr>
          <w:lang w:val="es-ES"/>
        </w:rPr>
        <w:t xml:space="preserve"> </w:t>
      </w:r>
      <w:r w:rsidR="002C2468">
        <w:rPr>
          <w:lang w:val="es-ES"/>
        </w:rPr>
        <w:t xml:space="preserve">que tuvo la base monetaria durante diciembre, alza </w:t>
      </w:r>
      <w:r w:rsidR="0089101B">
        <w:rPr>
          <w:lang w:val="es-ES"/>
        </w:rPr>
        <w:t>considerad</w:t>
      </w:r>
      <w:r w:rsidR="002C2468">
        <w:rPr>
          <w:lang w:val="es-ES"/>
        </w:rPr>
        <w:t>a</w:t>
      </w:r>
      <w:r w:rsidR="0089101B">
        <w:rPr>
          <w:lang w:val="es-ES"/>
        </w:rPr>
        <w:t xml:space="preserve"> en el tratado con el FMI dada las necesidades de pesos argentinos que tiene el mercado durante </w:t>
      </w:r>
      <w:r w:rsidR="002C2468">
        <w:rPr>
          <w:lang w:val="es-ES"/>
        </w:rPr>
        <w:t xml:space="preserve">diciembre. Cabe recalcar que durante Diciembre se terminó con el desarme de </w:t>
      </w:r>
      <w:proofErr w:type="spellStart"/>
      <w:r w:rsidR="002C2468">
        <w:rPr>
          <w:lang w:val="es-ES"/>
        </w:rPr>
        <w:t>lebacs</w:t>
      </w:r>
      <w:proofErr w:type="spellEnd"/>
      <w:r w:rsidR="002C2468">
        <w:rPr>
          <w:lang w:val="es-ES"/>
        </w:rPr>
        <w:t>, sacando del mercado este tipo de instrumentos, a fines de mes el fondo contaba con una duración de 56 días.</w:t>
      </w:r>
      <w:bookmarkStart w:id="0" w:name="_GoBack"/>
      <w:bookmarkEnd w:id="0"/>
    </w:p>
    <w:p w:rsidR="00830C39" w:rsidRDefault="00830C39" w:rsidP="009F3A8F">
      <w:pPr>
        <w:rPr>
          <w:lang w:val="es-ES"/>
        </w:rPr>
      </w:pPr>
    </w:p>
    <w:p w:rsidR="00830C39" w:rsidRDefault="00830C39" w:rsidP="009F3A8F">
      <w:pPr>
        <w:rPr>
          <w:lang w:val="es-ES"/>
        </w:rPr>
      </w:pPr>
    </w:p>
    <w:p w:rsidR="00115314" w:rsidRDefault="00115314" w:rsidP="009F3A8F">
      <w:pPr>
        <w:rPr>
          <w:lang w:val="es-ES"/>
        </w:rPr>
      </w:pPr>
    </w:p>
    <w:p w:rsidR="009F3A8F" w:rsidRDefault="009F3A8F" w:rsidP="009F3A8F">
      <w:pPr>
        <w:rPr>
          <w:lang w:val="es-ES"/>
        </w:rPr>
      </w:pPr>
      <w:r>
        <w:rPr>
          <w:lang w:val="es-ES"/>
        </w:rPr>
        <w:t xml:space="preserve"> </w:t>
      </w:r>
    </w:p>
    <w:p w:rsidR="009F3A8F" w:rsidRDefault="009F3A8F" w:rsidP="009F3A8F">
      <w:pPr>
        <w:rPr>
          <w:lang w:val="es-ES"/>
        </w:rPr>
      </w:pPr>
    </w:p>
    <w:p w:rsidR="009F3A8F" w:rsidRDefault="009F3A8F">
      <w:pPr>
        <w:rPr>
          <w:lang w:val="es-ES"/>
        </w:rPr>
      </w:pPr>
    </w:p>
    <w:p w:rsidR="009F3A8F" w:rsidRPr="00415582" w:rsidRDefault="009F3A8F">
      <w:pPr>
        <w:rPr>
          <w:lang w:val="es-ES"/>
        </w:rPr>
      </w:pPr>
    </w:p>
    <w:p w:rsidR="008B3395" w:rsidRPr="009B582F" w:rsidRDefault="008B3395">
      <w:pPr>
        <w:rPr>
          <w:lang w:val="es-ES"/>
        </w:rPr>
      </w:pPr>
    </w:p>
    <w:sectPr w:rsidR="008B3395" w:rsidRPr="009B58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2F"/>
    <w:rsid w:val="00115314"/>
    <w:rsid w:val="00133B59"/>
    <w:rsid w:val="00137F8D"/>
    <w:rsid w:val="002408BC"/>
    <w:rsid w:val="002C2468"/>
    <w:rsid w:val="002D65B2"/>
    <w:rsid w:val="00415582"/>
    <w:rsid w:val="004A682A"/>
    <w:rsid w:val="0054762B"/>
    <w:rsid w:val="00650C98"/>
    <w:rsid w:val="00830C39"/>
    <w:rsid w:val="0089101B"/>
    <w:rsid w:val="008B3395"/>
    <w:rsid w:val="009B582F"/>
    <w:rsid w:val="009D01C9"/>
    <w:rsid w:val="009F3A8F"/>
    <w:rsid w:val="00AB43A4"/>
    <w:rsid w:val="00BE683A"/>
    <w:rsid w:val="00BE71B8"/>
    <w:rsid w:val="00C70A16"/>
    <w:rsid w:val="00DE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3E8D"/>
  <w15:chartTrackingRefBased/>
  <w15:docId w15:val="{39BD706B-9146-4836-A0F9-E9FE825E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690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Posch Ponce</dc:creator>
  <cp:keywords/>
  <dc:description/>
  <cp:lastModifiedBy>Diego Posch Ponce</cp:lastModifiedBy>
  <cp:revision>4</cp:revision>
  <dcterms:created xsi:type="dcterms:W3CDTF">2019-01-07T12:04:00Z</dcterms:created>
  <dcterms:modified xsi:type="dcterms:W3CDTF">2019-01-07T15:44:00Z</dcterms:modified>
</cp:coreProperties>
</file>