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93" w:rsidRPr="00CE7DD7" w:rsidRDefault="00B57729">
      <w:pPr>
        <w:rPr>
          <w:rFonts w:cstheme="minorHAnsi"/>
          <w:b/>
          <w:sz w:val="20"/>
          <w:u w:val="single"/>
        </w:rPr>
      </w:pPr>
      <w:r w:rsidRPr="00CE7DD7">
        <w:rPr>
          <w:rFonts w:cstheme="minorHAnsi"/>
          <w:b/>
          <w:sz w:val="20"/>
          <w:u w:val="single"/>
        </w:rPr>
        <w:t>MACRO 1.5</w:t>
      </w:r>
    </w:p>
    <w:p w:rsidR="003F019D" w:rsidRPr="00CE7DD7" w:rsidRDefault="003F019D" w:rsidP="003F019D">
      <w:pPr>
        <w:rPr>
          <w:rFonts w:cstheme="minorHAnsi"/>
          <w:sz w:val="20"/>
        </w:rPr>
      </w:pPr>
      <w:r w:rsidRPr="00CE7DD7">
        <w:rPr>
          <w:rFonts w:cstheme="minorHAnsi"/>
          <w:sz w:val="20"/>
        </w:rPr>
        <w:t xml:space="preserve">Noviembre estuvo marcado inicialmente por el dato de inflación de octubre (0.6%) que compensó parcialmente la sorpresa negativa del </w:t>
      </w:r>
      <w:proofErr w:type="spellStart"/>
      <w:r w:rsidRPr="00CE7DD7">
        <w:rPr>
          <w:rFonts w:cstheme="minorHAnsi"/>
          <w:sz w:val="20"/>
        </w:rPr>
        <w:t>ipc</w:t>
      </w:r>
      <w:proofErr w:type="spellEnd"/>
      <w:r w:rsidRPr="00CE7DD7">
        <w:rPr>
          <w:rFonts w:cstheme="minorHAnsi"/>
          <w:sz w:val="20"/>
        </w:rPr>
        <w:t xml:space="preserve"> de septiembre. Sin embargo, este dato se vio revertido tras la primera vuelta de elecciones presidenciales desde la cual se ha visto un aumento en los </w:t>
      </w:r>
      <w:proofErr w:type="spellStart"/>
      <w:r w:rsidRPr="00CE7DD7">
        <w:rPr>
          <w:rFonts w:cstheme="minorHAnsi"/>
          <w:i/>
          <w:sz w:val="20"/>
        </w:rPr>
        <w:t>term</w:t>
      </w:r>
      <w:proofErr w:type="spellEnd"/>
      <w:r w:rsidRPr="00CE7DD7">
        <w:rPr>
          <w:rFonts w:cstheme="minorHAnsi"/>
          <w:i/>
          <w:sz w:val="20"/>
        </w:rPr>
        <w:t xml:space="preserve"> premias </w:t>
      </w:r>
      <w:r w:rsidRPr="00CE7DD7">
        <w:rPr>
          <w:rFonts w:cstheme="minorHAnsi"/>
          <w:sz w:val="20"/>
        </w:rPr>
        <w:t xml:space="preserve">de los instrumentos soberanos locales tanto en UF como en pesos. Luego de las elecciones tanto las tasas nominales como reales han alcanzado alzas de alrededor de 15 puntos base. </w:t>
      </w:r>
    </w:p>
    <w:p w:rsidR="00031CC2" w:rsidRDefault="003F019D">
      <w:pPr>
        <w:rPr>
          <w:rFonts w:cstheme="minorHAnsi"/>
          <w:sz w:val="20"/>
        </w:rPr>
      </w:pPr>
      <w:r w:rsidRPr="00CE7DD7">
        <w:rPr>
          <w:rFonts w:cstheme="minorHAnsi"/>
          <w:sz w:val="20"/>
        </w:rPr>
        <w:t xml:space="preserve">Seguimos posicionados en bonos soberanos locales, dado los swap </w:t>
      </w:r>
      <w:r w:rsidRPr="00CE7DD7">
        <w:rPr>
          <w:rFonts w:cstheme="minorHAnsi"/>
          <w:i/>
          <w:sz w:val="20"/>
        </w:rPr>
        <w:t>spreads</w:t>
      </w:r>
      <w:r w:rsidRPr="00CE7DD7">
        <w:rPr>
          <w:rFonts w:cstheme="minorHAnsi"/>
          <w:sz w:val="20"/>
        </w:rPr>
        <w:t xml:space="preserve"> implícitos en las curvas. Por otro lado, dentro de esta clase de instrumentos </w:t>
      </w:r>
      <w:proofErr w:type="spellStart"/>
      <w:r w:rsidRPr="00CE7DD7">
        <w:rPr>
          <w:rFonts w:cstheme="minorHAnsi"/>
          <w:sz w:val="20"/>
        </w:rPr>
        <w:t>sobreponderamos</w:t>
      </w:r>
      <w:proofErr w:type="spellEnd"/>
      <w:r w:rsidRPr="00CE7DD7">
        <w:rPr>
          <w:rFonts w:cstheme="minorHAnsi"/>
          <w:sz w:val="20"/>
        </w:rPr>
        <w:t xml:space="preserve"> los valores en pesos dado las recientes minutas del banco central que dan matices algo más </w:t>
      </w:r>
      <w:proofErr w:type="spellStart"/>
      <w:r w:rsidRPr="00CE7DD7">
        <w:rPr>
          <w:rFonts w:cstheme="minorHAnsi"/>
          <w:i/>
          <w:sz w:val="20"/>
        </w:rPr>
        <w:t>dovish</w:t>
      </w:r>
      <w:proofErr w:type="spellEnd"/>
      <w:r w:rsidRPr="00CE7DD7">
        <w:rPr>
          <w:rFonts w:cstheme="minorHAnsi"/>
          <w:sz w:val="20"/>
        </w:rPr>
        <w:t xml:space="preserve"> que las anteriores y las bajas perspectivas de inflación implícitas en los seguros de UF (1.8% </w:t>
      </w:r>
      <w:proofErr w:type="spellStart"/>
      <w:r w:rsidRPr="00CE7DD7">
        <w:rPr>
          <w:rFonts w:cstheme="minorHAnsi"/>
          <w:sz w:val="20"/>
        </w:rPr>
        <w:t>YoY</w:t>
      </w:r>
      <w:proofErr w:type="spellEnd"/>
      <w:r w:rsidRPr="00CE7DD7">
        <w:rPr>
          <w:rFonts w:cstheme="minorHAnsi"/>
          <w:sz w:val="20"/>
        </w:rPr>
        <w:t xml:space="preserve"> implícito para noviembre). En cuanto a FX, durante el mes se cerraron posiciones largas en CLP principalmente debido a la volatilidad del tipo de cambio producto de la incertidumbre respecto a las elecciones. </w:t>
      </w:r>
      <w:r w:rsidR="00194D52" w:rsidRPr="00CE7DD7">
        <w:rPr>
          <w:rFonts w:cstheme="minorHAnsi"/>
          <w:sz w:val="20"/>
        </w:rPr>
        <w:t xml:space="preserve">La duración del fondo </w:t>
      </w:r>
      <w:r w:rsidR="00EC2438" w:rsidRPr="00CE7DD7">
        <w:rPr>
          <w:rFonts w:cstheme="minorHAnsi"/>
          <w:sz w:val="20"/>
        </w:rPr>
        <w:t>alcanzó</w:t>
      </w:r>
      <w:r w:rsidR="00194D52" w:rsidRPr="00CE7DD7">
        <w:rPr>
          <w:rFonts w:cstheme="minorHAnsi"/>
          <w:sz w:val="20"/>
        </w:rPr>
        <w:t xml:space="preserve"> los </w:t>
      </w:r>
      <w:r w:rsidR="00EC2438" w:rsidRPr="00CE7DD7">
        <w:rPr>
          <w:rFonts w:cstheme="minorHAnsi"/>
          <w:sz w:val="20"/>
        </w:rPr>
        <w:t>3.4</w:t>
      </w:r>
      <w:r w:rsidR="00194D52" w:rsidRPr="00CE7DD7">
        <w:rPr>
          <w:rFonts w:cstheme="minorHAnsi"/>
          <w:sz w:val="20"/>
        </w:rPr>
        <w:t>3 años</w:t>
      </w:r>
      <w:r w:rsidR="004305FA" w:rsidRPr="00CE7DD7">
        <w:rPr>
          <w:rFonts w:cstheme="minorHAnsi"/>
          <w:sz w:val="20"/>
        </w:rPr>
        <w:t>, 78% en CLP y 22% en UF.</w:t>
      </w:r>
    </w:p>
    <w:p w:rsidR="00CE7DD7" w:rsidRPr="00CE7DD7" w:rsidRDefault="00CE7DD7">
      <w:pPr>
        <w:rPr>
          <w:rFonts w:cstheme="minorHAnsi"/>
          <w:sz w:val="20"/>
        </w:rPr>
      </w:pPr>
    </w:p>
    <w:p w:rsidR="00B66999" w:rsidRPr="00CE7DD7" w:rsidRDefault="008C79A3">
      <w:pPr>
        <w:rPr>
          <w:rFonts w:cstheme="minorHAnsi"/>
          <w:b/>
          <w:sz w:val="20"/>
          <w:u w:val="single"/>
        </w:rPr>
      </w:pPr>
      <w:r w:rsidRPr="00CE7DD7">
        <w:rPr>
          <w:rFonts w:cstheme="minorHAnsi"/>
          <w:b/>
          <w:sz w:val="20"/>
          <w:u w:val="single"/>
        </w:rPr>
        <w:t>MACRO 3</w:t>
      </w:r>
    </w:p>
    <w:p w:rsidR="00B66999" w:rsidRPr="00CE7DD7" w:rsidRDefault="00B66999" w:rsidP="00B66999">
      <w:pPr>
        <w:rPr>
          <w:rFonts w:cstheme="minorHAnsi"/>
          <w:sz w:val="20"/>
        </w:rPr>
      </w:pPr>
      <w:r w:rsidRPr="00CE7DD7">
        <w:rPr>
          <w:rFonts w:cstheme="minorHAnsi"/>
          <w:sz w:val="20"/>
        </w:rPr>
        <w:t xml:space="preserve">Noviembre estuvo marcado inicialmente por el dato de inflación de octubre (0.6%) que compensó parcialmente la sorpresa negativa del </w:t>
      </w:r>
      <w:proofErr w:type="spellStart"/>
      <w:r w:rsidRPr="00CE7DD7">
        <w:rPr>
          <w:rFonts w:cstheme="minorHAnsi"/>
          <w:sz w:val="20"/>
        </w:rPr>
        <w:t>ipc</w:t>
      </w:r>
      <w:proofErr w:type="spellEnd"/>
      <w:r w:rsidRPr="00CE7DD7">
        <w:rPr>
          <w:rFonts w:cstheme="minorHAnsi"/>
          <w:sz w:val="20"/>
        </w:rPr>
        <w:t xml:space="preserve"> de septiembre. Sin embargo, este dato se vio revertido tras la primera vuelta de elecciones presidenciales desde la cual se ha visto un aumento en los </w:t>
      </w:r>
      <w:proofErr w:type="spellStart"/>
      <w:r w:rsidRPr="00CE7DD7">
        <w:rPr>
          <w:rFonts w:cstheme="minorHAnsi"/>
          <w:i/>
          <w:sz w:val="20"/>
        </w:rPr>
        <w:t>term</w:t>
      </w:r>
      <w:proofErr w:type="spellEnd"/>
      <w:r w:rsidRPr="00CE7DD7">
        <w:rPr>
          <w:rFonts w:cstheme="minorHAnsi"/>
          <w:i/>
          <w:sz w:val="20"/>
        </w:rPr>
        <w:t xml:space="preserve"> premias </w:t>
      </w:r>
      <w:r w:rsidRPr="00CE7DD7">
        <w:rPr>
          <w:rFonts w:cstheme="minorHAnsi"/>
          <w:sz w:val="20"/>
        </w:rPr>
        <w:t xml:space="preserve">de los instrumentos soberanos locales tanto en UF como en pesos. Luego de las elecciones tanto las tasas nominales como reales han alcanzado alzas de alrededor de 15 puntos base. </w:t>
      </w:r>
    </w:p>
    <w:p w:rsidR="00B66999" w:rsidRPr="00CE7DD7" w:rsidRDefault="00B66999" w:rsidP="00B66999">
      <w:pPr>
        <w:rPr>
          <w:rFonts w:cstheme="minorHAnsi"/>
          <w:sz w:val="20"/>
        </w:rPr>
      </w:pPr>
      <w:r w:rsidRPr="00CE7DD7">
        <w:rPr>
          <w:rFonts w:cstheme="minorHAnsi"/>
          <w:sz w:val="20"/>
        </w:rPr>
        <w:t xml:space="preserve">Seguimos posicionados en bonos soberanos locales, dado los swap </w:t>
      </w:r>
      <w:r w:rsidRPr="00CE7DD7">
        <w:rPr>
          <w:rFonts w:cstheme="minorHAnsi"/>
          <w:i/>
          <w:sz w:val="20"/>
        </w:rPr>
        <w:t>spreads</w:t>
      </w:r>
      <w:r w:rsidRPr="00CE7DD7">
        <w:rPr>
          <w:rFonts w:cstheme="minorHAnsi"/>
          <w:sz w:val="20"/>
        </w:rPr>
        <w:t xml:space="preserve"> implícitos en las curvas. Por otro lado, dentro de esta clase de instrumentos </w:t>
      </w:r>
      <w:proofErr w:type="spellStart"/>
      <w:r w:rsidR="003F019D" w:rsidRPr="00CE7DD7">
        <w:rPr>
          <w:rFonts w:cstheme="minorHAnsi"/>
          <w:sz w:val="20"/>
        </w:rPr>
        <w:t>sobreponderamos</w:t>
      </w:r>
      <w:proofErr w:type="spellEnd"/>
      <w:r w:rsidRPr="00CE7DD7">
        <w:rPr>
          <w:rFonts w:cstheme="minorHAnsi"/>
          <w:sz w:val="20"/>
        </w:rPr>
        <w:t xml:space="preserve"> los valores en pesos dado las recientes minutas del banco central que dan matices algo más </w:t>
      </w:r>
      <w:proofErr w:type="spellStart"/>
      <w:r w:rsidRPr="00CE7DD7">
        <w:rPr>
          <w:rFonts w:cstheme="minorHAnsi"/>
          <w:i/>
          <w:sz w:val="20"/>
        </w:rPr>
        <w:t>dovish</w:t>
      </w:r>
      <w:proofErr w:type="spellEnd"/>
      <w:r w:rsidRPr="00CE7DD7">
        <w:rPr>
          <w:rFonts w:cstheme="minorHAnsi"/>
          <w:sz w:val="20"/>
        </w:rPr>
        <w:t xml:space="preserve"> que las anteriores y las bajas perspectivas de inflación implícitas en los seguros de UF (1.8% </w:t>
      </w:r>
      <w:proofErr w:type="spellStart"/>
      <w:r w:rsidRPr="00CE7DD7">
        <w:rPr>
          <w:rFonts w:cstheme="minorHAnsi"/>
          <w:sz w:val="20"/>
        </w:rPr>
        <w:t>YoY</w:t>
      </w:r>
      <w:proofErr w:type="spellEnd"/>
      <w:r w:rsidRPr="00CE7DD7">
        <w:rPr>
          <w:rFonts w:cstheme="minorHAnsi"/>
          <w:sz w:val="20"/>
        </w:rPr>
        <w:t xml:space="preserve"> implícito para noviembre). En cuanto a FX, durante el mes se cerraron posiciones largas en CLP principalmente debido a la volatilidad del tipo de cambio </w:t>
      </w:r>
      <w:r w:rsidR="003F019D" w:rsidRPr="00CE7DD7">
        <w:rPr>
          <w:rFonts w:cstheme="minorHAnsi"/>
          <w:sz w:val="20"/>
        </w:rPr>
        <w:t xml:space="preserve">producto de </w:t>
      </w:r>
      <w:r w:rsidRPr="00CE7DD7">
        <w:rPr>
          <w:rFonts w:cstheme="minorHAnsi"/>
          <w:sz w:val="20"/>
        </w:rPr>
        <w:t xml:space="preserve">la incertidumbre respecto a las elecciones. La duración del fondo alcanzó los </w:t>
      </w:r>
      <w:r w:rsidRPr="00CE7DD7">
        <w:rPr>
          <w:rFonts w:cstheme="minorHAnsi"/>
          <w:sz w:val="20"/>
        </w:rPr>
        <w:t>6</w:t>
      </w:r>
      <w:r w:rsidRPr="00CE7DD7">
        <w:rPr>
          <w:rFonts w:cstheme="minorHAnsi"/>
          <w:sz w:val="20"/>
        </w:rPr>
        <w:t xml:space="preserve"> años, </w:t>
      </w:r>
      <w:r w:rsidR="003F019D" w:rsidRPr="00CE7DD7">
        <w:rPr>
          <w:rFonts w:cstheme="minorHAnsi"/>
          <w:sz w:val="20"/>
        </w:rPr>
        <w:t xml:space="preserve">actualmente cuenta con un </w:t>
      </w:r>
      <w:proofErr w:type="spellStart"/>
      <w:r w:rsidR="003F019D" w:rsidRPr="00CE7DD7">
        <w:rPr>
          <w:rFonts w:cstheme="minorHAnsi"/>
          <w:i/>
          <w:sz w:val="20"/>
        </w:rPr>
        <w:t>leverage</w:t>
      </w:r>
      <w:proofErr w:type="spellEnd"/>
      <w:r w:rsidR="003F019D" w:rsidRPr="00CE7DD7">
        <w:rPr>
          <w:rFonts w:cstheme="minorHAnsi"/>
          <w:i/>
          <w:sz w:val="20"/>
        </w:rPr>
        <w:t xml:space="preserve"> </w:t>
      </w:r>
      <w:r w:rsidR="003F019D" w:rsidRPr="00CE7DD7">
        <w:rPr>
          <w:rFonts w:cstheme="minorHAnsi"/>
          <w:sz w:val="20"/>
        </w:rPr>
        <w:t xml:space="preserve">del 43% </w:t>
      </w:r>
      <w:r w:rsidR="00D05864" w:rsidRPr="00CE7DD7">
        <w:rPr>
          <w:rFonts w:cstheme="minorHAnsi"/>
          <w:sz w:val="20"/>
        </w:rPr>
        <w:t>y una distribución por moneda de 94.5% en CLP y 49% en UF.</w:t>
      </w:r>
    </w:p>
    <w:p w:rsidR="00031CC2" w:rsidRPr="00CE7DD7" w:rsidRDefault="00031CC2" w:rsidP="00B66999">
      <w:pPr>
        <w:rPr>
          <w:rFonts w:cstheme="minorHAnsi"/>
          <w:sz w:val="20"/>
        </w:rPr>
      </w:pPr>
    </w:p>
    <w:p w:rsidR="00031CC2" w:rsidRPr="00CE7DD7" w:rsidRDefault="00031CC2" w:rsidP="00B66999">
      <w:pPr>
        <w:rPr>
          <w:rFonts w:cstheme="minorHAnsi"/>
          <w:b/>
          <w:sz w:val="20"/>
          <w:u w:val="single"/>
        </w:rPr>
      </w:pPr>
      <w:r w:rsidRPr="00CE7DD7">
        <w:rPr>
          <w:rFonts w:cstheme="minorHAnsi"/>
          <w:b/>
          <w:sz w:val="20"/>
          <w:u w:val="single"/>
        </w:rPr>
        <w:t>Renta Estratégica</w:t>
      </w:r>
    </w:p>
    <w:p w:rsidR="00031CC2" w:rsidRDefault="00031CC2" w:rsidP="00B66999">
      <w:pPr>
        <w:rPr>
          <w:rFonts w:cstheme="minorHAnsi"/>
          <w:i/>
          <w:sz w:val="20"/>
        </w:rPr>
      </w:pPr>
      <w:r w:rsidRPr="00CE7DD7">
        <w:rPr>
          <w:rFonts w:cstheme="minorHAnsi"/>
          <w:sz w:val="20"/>
        </w:rPr>
        <w:t>Durante el último mes, ha continuado el alza de tasas locales. Tras</w:t>
      </w:r>
      <w:r w:rsidR="00B01B74" w:rsidRPr="00CE7DD7">
        <w:rPr>
          <w:rFonts w:cstheme="minorHAnsi"/>
          <w:sz w:val="20"/>
        </w:rPr>
        <w:t xml:space="preserve"> la sorpresa positiva </w:t>
      </w:r>
      <w:proofErr w:type="spellStart"/>
      <w:r w:rsidR="00B01B74" w:rsidRPr="00CE7DD7">
        <w:rPr>
          <w:rFonts w:cstheme="minorHAnsi"/>
          <w:sz w:val="20"/>
        </w:rPr>
        <w:t>del</w:t>
      </w:r>
      <w:proofErr w:type="spellEnd"/>
      <w:r w:rsidR="00B01B74" w:rsidRPr="00CE7DD7">
        <w:rPr>
          <w:rFonts w:cstheme="minorHAnsi"/>
          <w:sz w:val="20"/>
        </w:rPr>
        <w:t xml:space="preserve"> dato de inflación de octubre (0.6% contra un esperado de 0.3%) las tasas reales presentaron una caída durante </w:t>
      </w:r>
      <w:proofErr w:type="gramStart"/>
      <w:r w:rsidR="00B01B74" w:rsidRPr="00CE7DD7">
        <w:rPr>
          <w:rFonts w:cstheme="minorHAnsi"/>
          <w:sz w:val="20"/>
        </w:rPr>
        <w:t>los primera quincena</w:t>
      </w:r>
      <w:proofErr w:type="gramEnd"/>
      <w:r w:rsidR="00B01B74" w:rsidRPr="00CE7DD7">
        <w:rPr>
          <w:rFonts w:cstheme="minorHAnsi"/>
          <w:sz w:val="20"/>
        </w:rPr>
        <w:t xml:space="preserve">. Sin embargo, </w:t>
      </w:r>
      <w:r w:rsidR="00675D48" w:rsidRPr="00CE7DD7">
        <w:rPr>
          <w:rFonts w:cstheme="minorHAnsi"/>
          <w:sz w:val="20"/>
        </w:rPr>
        <w:t xml:space="preserve">este efecto fue revertido durante la segunda parte del mes donde </w:t>
      </w:r>
      <w:r w:rsidRPr="00CE7DD7">
        <w:rPr>
          <w:rFonts w:cstheme="minorHAnsi"/>
          <w:sz w:val="20"/>
        </w:rPr>
        <w:t xml:space="preserve">se ha visto por el lado soberano alzas de en promedio 15 puntos base tanto en la curva nominal como real, </w:t>
      </w:r>
      <w:r w:rsidR="00675D48" w:rsidRPr="00CE7DD7">
        <w:rPr>
          <w:rFonts w:cstheme="minorHAnsi"/>
          <w:sz w:val="20"/>
        </w:rPr>
        <w:t>producto de</w:t>
      </w:r>
      <w:r w:rsidRPr="00CE7DD7">
        <w:rPr>
          <w:rFonts w:cstheme="minorHAnsi"/>
          <w:sz w:val="20"/>
        </w:rPr>
        <w:t xml:space="preserve"> la incertidumbre </w:t>
      </w:r>
      <w:proofErr w:type="spellStart"/>
      <w:r w:rsidRPr="00CE7DD7">
        <w:rPr>
          <w:rFonts w:cstheme="minorHAnsi"/>
          <w:sz w:val="20"/>
        </w:rPr>
        <w:t>entorno</w:t>
      </w:r>
      <w:proofErr w:type="spellEnd"/>
      <w:r w:rsidR="00B01B74" w:rsidRPr="00CE7DD7">
        <w:rPr>
          <w:rFonts w:cstheme="minorHAnsi"/>
          <w:sz w:val="20"/>
        </w:rPr>
        <w:t xml:space="preserve"> a la inflación y </w:t>
      </w:r>
      <w:r w:rsidRPr="00CE7DD7">
        <w:rPr>
          <w:rFonts w:cstheme="minorHAnsi"/>
          <w:sz w:val="20"/>
        </w:rPr>
        <w:t xml:space="preserve">las elecciones del próximo 17 de diciembre. </w:t>
      </w:r>
      <w:r w:rsidR="00675D48" w:rsidRPr="00CE7DD7">
        <w:rPr>
          <w:rFonts w:cstheme="minorHAnsi"/>
          <w:sz w:val="20"/>
        </w:rPr>
        <w:t xml:space="preserve">Los spreads en pesos se expandieron durante el mes llegando a niveles promedio del año </w:t>
      </w:r>
      <w:r w:rsidR="00B01B74" w:rsidRPr="00CE7DD7">
        <w:rPr>
          <w:rFonts w:cstheme="minorHAnsi"/>
          <w:sz w:val="20"/>
        </w:rPr>
        <w:t xml:space="preserve">Durante noviembre los spreads se expandieron llegando a niveles promedio del año. </w:t>
      </w:r>
      <w:r w:rsidR="00675D48" w:rsidRPr="00CE7DD7">
        <w:rPr>
          <w:rFonts w:cstheme="minorHAnsi"/>
          <w:sz w:val="20"/>
        </w:rPr>
        <w:t xml:space="preserve">De esta forma, seguimos posicionados en la parte larga de la curva nominal, dado el empinamiento de la curva y las señales más </w:t>
      </w:r>
      <w:proofErr w:type="spellStart"/>
      <w:r w:rsidR="00675D48" w:rsidRPr="00CE7DD7">
        <w:rPr>
          <w:rFonts w:cstheme="minorHAnsi"/>
          <w:i/>
          <w:sz w:val="20"/>
        </w:rPr>
        <w:t>dovish</w:t>
      </w:r>
      <w:proofErr w:type="spellEnd"/>
      <w:r w:rsidR="00675D48" w:rsidRPr="00CE7DD7">
        <w:rPr>
          <w:rFonts w:cstheme="minorHAnsi"/>
          <w:sz w:val="20"/>
        </w:rPr>
        <w:t xml:space="preserve"> que ha hado el banco central en sus últimos comunicados. La duración del fondo llegó a 5.53 años durante noviembre con un </w:t>
      </w:r>
      <w:proofErr w:type="spellStart"/>
      <w:r w:rsidR="00675D48" w:rsidRPr="00CE7DD7">
        <w:rPr>
          <w:rFonts w:cstheme="minorHAnsi"/>
          <w:sz w:val="20"/>
        </w:rPr>
        <w:t>allocation</w:t>
      </w:r>
      <w:proofErr w:type="spellEnd"/>
      <w:r w:rsidR="00675D48" w:rsidRPr="00CE7DD7">
        <w:rPr>
          <w:rFonts w:cstheme="minorHAnsi"/>
          <w:sz w:val="20"/>
        </w:rPr>
        <w:t xml:space="preserve"> del 30% en pesos y 70% en UF.</w:t>
      </w:r>
      <w:r w:rsidR="002B3B67" w:rsidRPr="00CE7DD7">
        <w:rPr>
          <w:rFonts w:cstheme="minorHAnsi"/>
          <w:sz w:val="20"/>
        </w:rPr>
        <w:t xml:space="preserve"> Seguimos posi</w:t>
      </w:r>
      <w:r w:rsidR="004715DB" w:rsidRPr="00CE7DD7">
        <w:rPr>
          <w:rFonts w:cstheme="minorHAnsi"/>
          <w:sz w:val="20"/>
        </w:rPr>
        <w:t xml:space="preserve">cionados dentro de los primeros puestos del </w:t>
      </w:r>
      <w:r w:rsidR="004715DB" w:rsidRPr="00CE7DD7">
        <w:rPr>
          <w:rFonts w:cstheme="minorHAnsi"/>
          <w:i/>
          <w:sz w:val="20"/>
        </w:rPr>
        <w:t xml:space="preserve">peer </w:t>
      </w:r>
      <w:proofErr w:type="spellStart"/>
      <w:r w:rsidR="004715DB" w:rsidRPr="00CE7DD7">
        <w:rPr>
          <w:rFonts w:cstheme="minorHAnsi"/>
          <w:i/>
          <w:sz w:val="20"/>
        </w:rPr>
        <w:t>group</w:t>
      </w:r>
      <w:proofErr w:type="spellEnd"/>
      <w:r w:rsidR="004715DB" w:rsidRPr="00CE7DD7">
        <w:rPr>
          <w:rFonts w:cstheme="minorHAnsi"/>
          <w:i/>
          <w:sz w:val="20"/>
        </w:rPr>
        <w:t>.</w:t>
      </w:r>
    </w:p>
    <w:p w:rsidR="009502F1" w:rsidRDefault="009502F1" w:rsidP="00B66999">
      <w:pPr>
        <w:rPr>
          <w:rFonts w:cstheme="minorHAnsi"/>
          <w:sz w:val="20"/>
        </w:rPr>
      </w:pPr>
    </w:p>
    <w:p w:rsidR="009502F1" w:rsidRDefault="009502F1" w:rsidP="00B66999">
      <w:pPr>
        <w:rPr>
          <w:rFonts w:cstheme="minorHAnsi"/>
          <w:sz w:val="20"/>
        </w:rPr>
      </w:pPr>
    </w:p>
    <w:p w:rsidR="009502F1" w:rsidRPr="00CE7DD7" w:rsidRDefault="009502F1" w:rsidP="00B66999">
      <w:pPr>
        <w:rPr>
          <w:rFonts w:cstheme="minorHAnsi"/>
          <w:sz w:val="20"/>
        </w:rPr>
      </w:pPr>
      <w:bookmarkStart w:id="0" w:name="_GoBack"/>
      <w:bookmarkEnd w:id="0"/>
    </w:p>
    <w:p w:rsidR="002B3B67" w:rsidRPr="009502F1" w:rsidRDefault="002B3B67" w:rsidP="00B66999">
      <w:pPr>
        <w:rPr>
          <w:rFonts w:cstheme="minorHAnsi"/>
          <w:b/>
          <w:sz w:val="20"/>
          <w:u w:val="single"/>
        </w:rPr>
      </w:pPr>
      <w:r w:rsidRPr="009502F1">
        <w:rPr>
          <w:rFonts w:cstheme="minorHAnsi"/>
          <w:b/>
          <w:sz w:val="20"/>
          <w:u w:val="single"/>
        </w:rPr>
        <w:lastRenderedPageBreak/>
        <w:t>E-Plus</w:t>
      </w:r>
    </w:p>
    <w:p w:rsidR="004715DB" w:rsidRPr="00CE7DD7" w:rsidRDefault="004715DB" w:rsidP="00B66999">
      <w:pPr>
        <w:rPr>
          <w:rFonts w:cstheme="minorHAnsi"/>
          <w:sz w:val="20"/>
        </w:rPr>
      </w:pPr>
      <w:r w:rsidRPr="00CE7DD7">
        <w:rPr>
          <w:rFonts w:cstheme="minorHAnsi"/>
          <w:sz w:val="20"/>
        </w:rPr>
        <w:t xml:space="preserve">Durante noviembre, los fondos E </w:t>
      </w:r>
      <w:r w:rsidR="002A0EB7" w:rsidRPr="00CE7DD7">
        <w:rPr>
          <w:rFonts w:cstheme="minorHAnsi"/>
          <w:sz w:val="20"/>
        </w:rPr>
        <w:t xml:space="preserve">cayeron 0.22% en promedio. </w:t>
      </w:r>
      <w:r w:rsidR="00453BA0" w:rsidRPr="00CE7DD7">
        <w:rPr>
          <w:rFonts w:cstheme="minorHAnsi"/>
          <w:sz w:val="20"/>
        </w:rPr>
        <w:t xml:space="preserve">En particular </w:t>
      </w:r>
      <w:r w:rsidR="00257602" w:rsidRPr="00CE7DD7">
        <w:rPr>
          <w:rFonts w:cstheme="minorHAnsi"/>
          <w:sz w:val="20"/>
        </w:rPr>
        <w:t>este mes</w:t>
      </w:r>
      <w:r w:rsidR="00453BA0" w:rsidRPr="00CE7DD7">
        <w:rPr>
          <w:rFonts w:cstheme="minorHAnsi"/>
          <w:sz w:val="20"/>
        </w:rPr>
        <w:t xml:space="preserve"> ha estado marcado por la incertidumbre respecto a la</w:t>
      </w:r>
      <w:r w:rsidR="00257602" w:rsidRPr="00CE7DD7">
        <w:rPr>
          <w:rFonts w:cstheme="minorHAnsi"/>
          <w:sz w:val="20"/>
        </w:rPr>
        <w:t xml:space="preserve">s expectativas de inflación y a las elecciones presidenciales, lo que ha desencadenado en un alza de los </w:t>
      </w:r>
      <w:proofErr w:type="spellStart"/>
      <w:r w:rsidR="00257602" w:rsidRPr="00CE7DD7">
        <w:rPr>
          <w:rFonts w:cstheme="minorHAnsi"/>
          <w:i/>
          <w:sz w:val="20"/>
        </w:rPr>
        <w:t>term</w:t>
      </w:r>
      <w:proofErr w:type="spellEnd"/>
      <w:r w:rsidR="00257602" w:rsidRPr="00CE7DD7">
        <w:rPr>
          <w:rFonts w:cstheme="minorHAnsi"/>
          <w:i/>
          <w:sz w:val="20"/>
        </w:rPr>
        <w:t xml:space="preserve"> premia</w:t>
      </w:r>
      <w:r w:rsidR="00257602" w:rsidRPr="00CE7DD7">
        <w:rPr>
          <w:rFonts w:cstheme="minorHAnsi"/>
          <w:sz w:val="20"/>
        </w:rPr>
        <w:t xml:space="preserve"> de las curvas nominal y real. Los spreads en pesos se expandieron durante el mes llegando a sus valores promedio del año. Actualmente seguimos </w:t>
      </w:r>
      <w:r w:rsidR="00800793" w:rsidRPr="00CE7DD7">
        <w:rPr>
          <w:rFonts w:cstheme="minorHAnsi"/>
          <w:sz w:val="20"/>
        </w:rPr>
        <w:t xml:space="preserve">recibiendo la curva, </w:t>
      </w:r>
      <w:proofErr w:type="spellStart"/>
      <w:r w:rsidR="00257602" w:rsidRPr="00CE7DD7">
        <w:rPr>
          <w:rFonts w:cstheme="minorHAnsi"/>
          <w:sz w:val="20"/>
        </w:rPr>
        <w:t>sobreponderando</w:t>
      </w:r>
      <w:proofErr w:type="spellEnd"/>
      <w:r w:rsidR="00257602" w:rsidRPr="00CE7DD7">
        <w:rPr>
          <w:rFonts w:cstheme="minorHAnsi"/>
          <w:sz w:val="20"/>
        </w:rPr>
        <w:t xml:space="preserve"> los pesos sobre UF, en gobier</w:t>
      </w:r>
      <w:r w:rsidR="00800793" w:rsidRPr="00CE7DD7">
        <w:rPr>
          <w:rFonts w:cstheme="minorHAnsi"/>
          <w:sz w:val="20"/>
        </w:rPr>
        <w:t xml:space="preserve">no y corporativos, aprovechándonos de las bajas expectativas para la inflación, los últimos comunicados con tono más </w:t>
      </w:r>
      <w:proofErr w:type="spellStart"/>
      <w:r w:rsidR="00800793" w:rsidRPr="00CE7DD7">
        <w:rPr>
          <w:rFonts w:cstheme="minorHAnsi"/>
          <w:i/>
          <w:sz w:val="20"/>
        </w:rPr>
        <w:t>dovish</w:t>
      </w:r>
      <w:proofErr w:type="spellEnd"/>
      <w:r w:rsidR="00800793" w:rsidRPr="00CE7DD7">
        <w:rPr>
          <w:rFonts w:cstheme="minorHAnsi"/>
          <w:i/>
          <w:sz w:val="20"/>
        </w:rPr>
        <w:t xml:space="preserve"> </w:t>
      </w:r>
      <w:r w:rsidR="00800793" w:rsidRPr="00CE7DD7">
        <w:rPr>
          <w:rFonts w:cstheme="minorHAnsi"/>
          <w:sz w:val="20"/>
        </w:rPr>
        <w:t xml:space="preserve">del central, el fuerte empinamiento de la curva nominal y el swap </w:t>
      </w:r>
      <w:r w:rsidR="00800793" w:rsidRPr="00CE7DD7">
        <w:rPr>
          <w:rFonts w:cstheme="minorHAnsi"/>
          <w:i/>
          <w:sz w:val="20"/>
        </w:rPr>
        <w:t xml:space="preserve">spread </w:t>
      </w:r>
      <w:r w:rsidR="00800793" w:rsidRPr="00CE7DD7">
        <w:rPr>
          <w:rFonts w:cstheme="minorHAnsi"/>
          <w:sz w:val="20"/>
        </w:rPr>
        <w:t xml:space="preserve">presente en las curvas cash. La duración del fondo alcanzó los 9.73 años durante el mes contando con un </w:t>
      </w:r>
      <w:proofErr w:type="spellStart"/>
      <w:r w:rsidR="00800793" w:rsidRPr="00CE7DD7">
        <w:rPr>
          <w:rFonts w:cstheme="minorHAnsi"/>
          <w:i/>
          <w:sz w:val="20"/>
        </w:rPr>
        <w:t>leverage</w:t>
      </w:r>
      <w:proofErr w:type="spellEnd"/>
      <w:r w:rsidR="00800793" w:rsidRPr="00CE7DD7">
        <w:rPr>
          <w:rFonts w:cstheme="minorHAnsi"/>
          <w:i/>
          <w:sz w:val="20"/>
        </w:rPr>
        <w:t xml:space="preserve"> </w:t>
      </w:r>
      <w:r w:rsidR="00800793" w:rsidRPr="00CE7DD7">
        <w:rPr>
          <w:rFonts w:cstheme="minorHAnsi"/>
          <w:sz w:val="20"/>
        </w:rPr>
        <w:t xml:space="preserve">del 18.91%. Seguimos con una posición </w:t>
      </w:r>
      <w:proofErr w:type="spellStart"/>
      <w:r w:rsidR="00800793" w:rsidRPr="00CE7DD7">
        <w:rPr>
          <w:rFonts w:cstheme="minorHAnsi"/>
          <w:i/>
          <w:sz w:val="20"/>
        </w:rPr>
        <w:t>benchmark</w:t>
      </w:r>
      <w:proofErr w:type="spellEnd"/>
      <w:r w:rsidR="00800793" w:rsidRPr="00CE7DD7">
        <w:rPr>
          <w:rFonts w:cstheme="minorHAnsi"/>
          <w:sz w:val="20"/>
        </w:rPr>
        <w:t xml:space="preserve"> en MXN y </w:t>
      </w:r>
      <w:proofErr w:type="spellStart"/>
      <w:r w:rsidR="00800793" w:rsidRPr="00CE7DD7">
        <w:rPr>
          <w:rFonts w:cstheme="minorHAnsi"/>
          <w:i/>
          <w:sz w:val="20"/>
        </w:rPr>
        <w:t>underweight</w:t>
      </w:r>
      <w:proofErr w:type="spellEnd"/>
      <w:r w:rsidR="00800793" w:rsidRPr="00CE7DD7">
        <w:rPr>
          <w:rFonts w:cstheme="minorHAnsi"/>
          <w:sz w:val="20"/>
        </w:rPr>
        <w:t xml:space="preserve"> en BRL.</w:t>
      </w:r>
    </w:p>
    <w:p w:rsidR="002B3B67" w:rsidRPr="00CE7DD7" w:rsidRDefault="002B3B67" w:rsidP="00B66999">
      <w:pPr>
        <w:rPr>
          <w:rFonts w:cstheme="minorHAnsi"/>
          <w:sz w:val="20"/>
        </w:rPr>
      </w:pPr>
    </w:p>
    <w:p w:rsidR="00675D48" w:rsidRPr="00CE7DD7" w:rsidRDefault="00675D48" w:rsidP="00B66999">
      <w:pPr>
        <w:rPr>
          <w:rFonts w:cstheme="minorHAnsi"/>
          <w:sz w:val="20"/>
        </w:rPr>
      </w:pPr>
    </w:p>
    <w:p w:rsidR="00031CC2" w:rsidRPr="00CE7DD7" w:rsidRDefault="00031CC2" w:rsidP="00B66999">
      <w:pPr>
        <w:rPr>
          <w:rFonts w:cstheme="minorHAnsi"/>
          <w:sz w:val="20"/>
        </w:rPr>
      </w:pPr>
    </w:p>
    <w:p w:rsidR="00031CC2" w:rsidRPr="00CE7DD7" w:rsidRDefault="00031CC2" w:rsidP="00B66999">
      <w:pPr>
        <w:rPr>
          <w:rFonts w:cstheme="minorHAnsi"/>
          <w:sz w:val="20"/>
        </w:rPr>
      </w:pPr>
    </w:p>
    <w:p w:rsidR="00031CC2" w:rsidRPr="00CE7DD7" w:rsidRDefault="00031CC2" w:rsidP="00B66999">
      <w:pPr>
        <w:rPr>
          <w:rFonts w:cstheme="minorHAnsi"/>
          <w:sz w:val="20"/>
        </w:rPr>
      </w:pPr>
    </w:p>
    <w:p w:rsidR="00D05864" w:rsidRPr="00CE7DD7" w:rsidRDefault="00D05864" w:rsidP="00B66999">
      <w:pPr>
        <w:rPr>
          <w:rFonts w:cstheme="minorHAnsi"/>
          <w:sz w:val="20"/>
        </w:rPr>
      </w:pPr>
    </w:p>
    <w:p w:rsidR="00B66999" w:rsidRPr="00CE7DD7" w:rsidRDefault="00B66999">
      <w:pPr>
        <w:rPr>
          <w:rFonts w:cstheme="minorHAnsi"/>
          <w:sz w:val="20"/>
        </w:rPr>
      </w:pPr>
    </w:p>
    <w:p w:rsidR="004305FA" w:rsidRPr="00CE7DD7" w:rsidRDefault="004305FA">
      <w:pPr>
        <w:rPr>
          <w:rFonts w:cstheme="minorHAnsi"/>
          <w:sz w:val="20"/>
          <w:lang w:val="es-CL"/>
        </w:rPr>
      </w:pPr>
    </w:p>
    <w:p w:rsidR="004305FA" w:rsidRPr="00CE7DD7" w:rsidRDefault="004305FA">
      <w:pPr>
        <w:rPr>
          <w:rFonts w:cstheme="minorHAnsi"/>
          <w:sz w:val="20"/>
        </w:rPr>
      </w:pPr>
    </w:p>
    <w:p w:rsidR="00011127" w:rsidRPr="00B72CD7" w:rsidRDefault="00011127"/>
    <w:sectPr w:rsidR="00011127" w:rsidRPr="00B72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9"/>
    <w:rsid w:val="00011127"/>
    <w:rsid w:val="00031CC2"/>
    <w:rsid w:val="00194D52"/>
    <w:rsid w:val="00257602"/>
    <w:rsid w:val="002A0EB7"/>
    <w:rsid w:val="002B3B67"/>
    <w:rsid w:val="00350843"/>
    <w:rsid w:val="003F019D"/>
    <w:rsid w:val="00420DB9"/>
    <w:rsid w:val="004305FA"/>
    <w:rsid w:val="00453BA0"/>
    <w:rsid w:val="004715DB"/>
    <w:rsid w:val="00596293"/>
    <w:rsid w:val="00675D48"/>
    <w:rsid w:val="00800793"/>
    <w:rsid w:val="008C79A3"/>
    <w:rsid w:val="009502F1"/>
    <w:rsid w:val="00A06899"/>
    <w:rsid w:val="00A6326B"/>
    <w:rsid w:val="00B01B74"/>
    <w:rsid w:val="00B57729"/>
    <w:rsid w:val="00B66999"/>
    <w:rsid w:val="00B72CD7"/>
    <w:rsid w:val="00C86F1C"/>
    <w:rsid w:val="00CE7DD7"/>
    <w:rsid w:val="00D05864"/>
    <w:rsid w:val="00E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D9C9"/>
  <w15:chartTrackingRefBased/>
  <w15:docId w15:val="{AC6456E6-54C0-48A5-ACB2-89DE946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5</cp:revision>
  <dcterms:created xsi:type="dcterms:W3CDTF">2017-12-06T13:48:00Z</dcterms:created>
  <dcterms:modified xsi:type="dcterms:W3CDTF">2017-12-06T18:30:00Z</dcterms:modified>
</cp:coreProperties>
</file>