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widowControl w:val="false"/>
        <w:bidi w:val="0"/>
        <w:spacing w:before="0" w:after="0"/>
        <w:ind w:start="720" w:hanging="0"/>
        <w:jc w:val="start"/>
        <w:rPr>
          <w:szCs w:val="18"/>
        </w:rPr>
      </w:pPr>
      <w:r>
        <w:rPr>
          <w:szCs w:val="18"/>
        </w:rPr>
        <w:t>Срочная информация по</w:t>
        <w:br/>
        <w:t>актуальным вопросам</w:t>
      </w:r>
    </w:p>
    <w:p>
      <w:pPr>
        <w:pStyle w:val="Style24"/>
        <w:widowControl w:val="false"/>
        <w:bidi w:val="0"/>
        <w:spacing w:before="120" w:after="0"/>
        <w:ind w:hanging="0"/>
        <w:jc w:val="center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  <w:t>О промышленном производстве в январе-марте 2021 года</w:t>
      </w:r>
      <w:r>
        <w:rPr>
          <w:szCs w:val="18"/>
        </w:rPr>
        <w:t xml:space="preserve"> </w:t>
        <w:br/>
      </w:r>
      <w:r>
        <w:rPr>
          <w:b/>
          <w:szCs w:val="18"/>
        </w:rPr>
        <w:t>по Ненецкому автономному округу</w:t>
      </w:r>
    </w:p>
    <w:p>
      <w:pPr>
        <w:pStyle w:val="Normal"/>
        <w:spacing w:before="0" w:after="20"/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Индекс производства по видам экономической деятельности</w:t>
      </w:r>
    </w:p>
    <w:tbl>
      <w:tblPr>
        <w:tblW w:w="6683" w:type="dxa"/>
        <w:jc w:val="start"/>
        <w:tblInd w:w="28" w:type="dxa"/>
        <w:tblCellMar>
          <w:top w:w="0" w:type="dxa"/>
          <w:start w:w="28" w:type="dxa"/>
          <w:bottom w:w="0" w:type="dxa"/>
          <w:end w:w="28" w:type="dxa"/>
        </w:tblCellMar>
      </w:tblPr>
      <w:tblGrid>
        <w:gridCol w:w="3262"/>
        <w:gridCol w:w="991"/>
        <w:gridCol w:w="955"/>
        <w:gridCol w:w="1475"/>
      </w:tblGrid>
      <w:tr>
        <w:trPr/>
        <w:tc>
          <w:tcPr>
            <w:tcW w:w="3262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ind w:end="34" w:hanging="0"/>
              <w:jc w:val="both"/>
              <w:rPr>
                <w:rStyle w:val="Style14"/>
                <w:rFonts w:cs="Arial"/>
                <w:szCs w:val="16"/>
              </w:rPr>
            </w:pPr>
            <w:r>
              <w:rPr/>
            </w:r>
          </w:p>
        </w:tc>
        <w:tc>
          <w:tcPr>
            <w:tcW w:w="1946" w:type="dxa"/>
            <w:gridSpan w:val="2"/>
            <w:tcBorders>
              <w:top w:val="single" w:sz="8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end="34" w:hanging="0"/>
              <w:jc w:val="center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 xml:space="preserve">Март 2021г. </w:t>
            </w:r>
          </w:p>
          <w:p>
            <w:pPr>
              <w:pStyle w:val="Normal"/>
              <w:ind w:end="34" w:hanging="0"/>
              <w:jc w:val="center"/>
              <w:rPr/>
            </w:pPr>
            <w:r>
              <w:rPr>
                <w:rStyle w:val="Style14"/>
                <w:rFonts w:cs="Arial"/>
                <w:szCs w:val="16"/>
              </w:rPr>
              <w:t>в % к</w:t>
            </w:r>
          </w:p>
        </w:tc>
        <w:tc>
          <w:tcPr>
            <w:tcW w:w="1475" w:type="dxa"/>
            <w:vMerge w:val="restart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8" w:space="0" w:color="000000"/>
            </w:tcBorders>
          </w:tcPr>
          <w:p>
            <w:pPr>
              <w:pStyle w:val="Normal"/>
              <w:ind w:end="34" w:hanging="0"/>
              <w:jc w:val="center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 xml:space="preserve">Январь - март 2021г. в % к </w:t>
              <w:br/>
              <w:t>январю - марту 2020г.</w:t>
            </w:r>
          </w:p>
        </w:tc>
      </w:tr>
      <w:tr>
        <w:trPr/>
        <w:tc>
          <w:tcPr>
            <w:tcW w:w="3262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ind w:end="34" w:hanging="0"/>
              <w:jc w:val="both"/>
              <w:rPr>
                <w:rStyle w:val="Style14"/>
                <w:rFonts w:cs="Arial"/>
                <w:szCs w:val="16"/>
              </w:rPr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ind w:end="34" w:hanging="0"/>
              <w:jc w:val="center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 xml:space="preserve">марту </w:t>
            </w:r>
          </w:p>
          <w:p>
            <w:pPr>
              <w:pStyle w:val="Normal"/>
              <w:ind w:end="34" w:hanging="0"/>
              <w:jc w:val="center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2020г.</w:t>
            </w:r>
          </w:p>
        </w:tc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ind w:end="34" w:hanging="0"/>
              <w:jc w:val="center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 xml:space="preserve">февралю </w:t>
            </w:r>
          </w:p>
          <w:p>
            <w:pPr>
              <w:pStyle w:val="Normal"/>
              <w:ind w:end="34" w:hanging="0"/>
              <w:jc w:val="center"/>
              <w:rPr/>
            </w:pPr>
            <w:r>
              <w:rPr>
                <w:rStyle w:val="Style14"/>
                <w:rFonts w:cs="Arial"/>
                <w:szCs w:val="16"/>
              </w:rPr>
              <w:t>2021г.</w:t>
            </w:r>
          </w:p>
        </w:tc>
        <w:tc>
          <w:tcPr>
            <w:tcW w:w="1475" w:type="dxa"/>
            <w:vMerge w:val="continue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8" w:space="0" w:color="000000"/>
            </w:tcBorders>
          </w:tcPr>
          <w:p>
            <w:pPr>
              <w:pStyle w:val="Normal"/>
              <w:snapToGrid w:val="false"/>
              <w:ind w:end="34" w:hanging="0"/>
              <w:jc w:val="center"/>
              <w:rPr>
                <w:rStyle w:val="Style14"/>
                <w:rFonts w:cs="Arial"/>
                <w:szCs w:val="16"/>
              </w:rPr>
            </w:pPr>
            <w:r>
              <w:rPr/>
            </w:r>
          </w:p>
        </w:tc>
      </w:tr>
      <w:tr>
        <w:trPr>
          <w:trHeight w:val="170" w:hRule="atLeast"/>
        </w:trPr>
        <w:tc>
          <w:tcPr>
            <w:tcW w:w="3262" w:type="dxa"/>
            <w:tcBorders>
              <w:top w:val="single" w:sz="8" w:space="0" w:color="000000"/>
              <w:start w:val="single" w:sz="8" w:space="0" w:color="000000"/>
            </w:tcBorders>
          </w:tcPr>
          <w:p>
            <w:pPr>
              <w:pStyle w:val="Normal"/>
              <w:ind w:end="34" w:hanging="0"/>
              <w:jc w:val="both"/>
              <w:rPr/>
            </w:pPr>
            <w:r>
              <w:rPr>
                <w:rStyle w:val="Style14"/>
                <w:rFonts w:cs="Arial"/>
                <w:szCs w:val="16"/>
              </w:rPr>
              <w:t>Индекс промышленного производства</w:t>
            </w:r>
            <w:r>
              <w:rPr>
                <w:rStyle w:val="Style14"/>
                <w:rFonts w:cs="Arial"/>
                <w:szCs w:val="16"/>
                <w:vertAlign w:val="superscript"/>
              </w:rPr>
              <w:t>1)</w:t>
            </w:r>
          </w:p>
        </w:tc>
        <w:tc>
          <w:tcPr>
            <w:tcW w:w="991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85,7</w:t>
            </w:r>
          </w:p>
        </w:tc>
        <w:tc>
          <w:tcPr>
            <w:tcW w:w="955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108,3</w:t>
            </w:r>
          </w:p>
        </w:tc>
        <w:tc>
          <w:tcPr>
            <w:tcW w:w="1475" w:type="dxa"/>
            <w:tcBorders>
              <w:top w:val="single" w:sz="8" w:space="0" w:color="000000"/>
              <w:end w:val="single" w:sz="8" w:space="0" w:color="000000"/>
            </w:tcBorders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86,0</w:t>
            </w:r>
          </w:p>
        </w:tc>
      </w:tr>
      <w:tr>
        <w:trPr/>
        <w:tc>
          <w:tcPr>
            <w:tcW w:w="3262" w:type="dxa"/>
            <w:tcBorders>
              <w:start w:val="single" w:sz="8" w:space="0" w:color="000000"/>
            </w:tcBorders>
          </w:tcPr>
          <w:p>
            <w:pPr>
              <w:pStyle w:val="Normal"/>
              <w:ind w:end="34" w:hanging="0"/>
              <w:jc w:val="both"/>
              <w:rPr/>
            </w:pPr>
            <w:r>
              <w:rPr>
                <w:rStyle w:val="Style14"/>
                <w:rFonts w:cs="Arial"/>
                <w:szCs w:val="16"/>
              </w:rPr>
              <w:t>Добыча полезных ископаемых</w:t>
            </w:r>
          </w:p>
        </w:tc>
        <w:tc>
          <w:tcPr>
            <w:tcW w:w="991" w:type="dxa"/>
            <w:tcBorders/>
            <w:vAlign w:val="bottom"/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85,5</w:t>
            </w:r>
          </w:p>
        </w:tc>
        <w:tc>
          <w:tcPr>
            <w:tcW w:w="955" w:type="dxa"/>
            <w:tcBorders/>
            <w:vAlign w:val="bottom"/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108,6</w:t>
            </w:r>
          </w:p>
        </w:tc>
        <w:tc>
          <w:tcPr>
            <w:tcW w:w="1475" w:type="dxa"/>
            <w:tcBorders>
              <w:end w:val="single" w:sz="8" w:space="0" w:color="000000"/>
            </w:tcBorders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85,7</w:t>
            </w:r>
          </w:p>
        </w:tc>
      </w:tr>
      <w:tr>
        <w:trPr/>
        <w:tc>
          <w:tcPr>
            <w:tcW w:w="3262" w:type="dxa"/>
            <w:tcBorders>
              <w:start w:val="single" w:sz="8" w:space="0" w:color="000000"/>
            </w:tcBorders>
          </w:tcPr>
          <w:p>
            <w:pPr>
              <w:pStyle w:val="Normal"/>
              <w:ind w:end="34" w:hanging="0"/>
              <w:jc w:val="both"/>
              <w:rPr/>
            </w:pPr>
            <w:r>
              <w:rPr>
                <w:rStyle w:val="Style14"/>
                <w:rFonts w:cs="Arial"/>
                <w:szCs w:val="16"/>
              </w:rPr>
              <w:t>Обрабатывающие производства</w:t>
            </w:r>
          </w:p>
        </w:tc>
        <w:tc>
          <w:tcPr>
            <w:tcW w:w="991" w:type="dxa"/>
            <w:tcBorders/>
            <w:vAlign w:val="bottom"/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125,0</w:t>
            </w:r>
          </w:p>
        </w:tc>
        <w:tc>
          <w:tcPr>
            <w:tcW w:w="955" w:type="dxa"/>
            <w:tcBorders/>
            <w:vAlign w:val="bottom"/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107,8</w:t>
            </w:r>
          </w:p>
        </w:tc>
        <w:tc>
          <w:tcPr>
            <w:tcW w:w="1475" w:type="dxa"/>
            <w:tcBorders>
              <w:end w:val="single" w:sz="8" w:space="0" w:color="000000"/>
            </w:tcBorders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135,7</w:t>
            </w:r>
          </w:p>
        </w:tc>
      </w:tr>
      <w:tr>
        <w:trPr/>
        <w:tc>
          <w:tcPr>
            <w:tcW w:w="3262" w:type="dxa"/>
            <w:tcBorders>
              <w:start w:val="single" w:sz="8" w:space="0" w:color="000000"/>
            </w:tcBorders>
          </w:tcPr>
          <w:p>
            <w:pPr>
              <w:pStyle w:val="Normal"/>
              <w:ind w:end="34" w:hanging="0"/>
              <w:jc w:val="both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Обеспечение электрической энергией, газом и паром; кондиционирование воздуха</w:t>
            </w:r>
          </w:p>
        </w:tc>
        <w:tc>
          <w:tcPr>
            <w:tcW w:w="991" w:type="dxa"/>
            <w:tcBorders/>
            <w:vAlign w:val="bottom"/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94,0</w:t>
            </w:r>
          </w:p>
        </w:tc>
        <w:tc>
          <w:tcPr>
            <w:tcW w:w="955" w:type="dxa"/>
            <w:tcBorders/>
            <w:vAlign w:val="bottom"/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94,6</w:t>
            </w:r>
          </w:p>
        </w:tc>
        <w:tc>
          <w:tcPr>
            <w:tcW w:w="1475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97,3</w:t>
            </w:r>
          </w:p>
        </w:tc>
      </w:tr>
      <w:tr>
        <w:trPr/>
        <w:tc>
          <w:tcPr>
            <w:tcW w:w="326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ind w:end="34" w:hanging="0"/>
              <w:jc w:val="both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Водоснабжение; 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99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97,8</w:t>
            </w:r>
          </w:p>
        </w:tc>
        <w:tc>
          <w:tcPr>
            <w:tcW w:w="95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87,5</w:t>
            </w:r>
          </w:p>
        </w:tc>
        <w:tc>
          <w:tcPr>
            <w:tcW w:w="14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ind w:end="284" w:hanging="0"/>
              <w:jc w:val="end"/>
              <w:rPr>
                <w:rStyle w:val="Style14"/>
                <w:rFonts w:cs="Arial"/>
                <w:szCs w:val="16"/>
              </w:rPr>
            </w:pPr>
            <w:r>
              <w:rPr>
                <w:rStyle w:val="Style14"/>
                <w:rFonts w:cs="Arial"/>
                <w:szCs w:val="16"/>
              </w:rPr>
              <w:t>103,0</w:t>
            </w:r>
          </w:p>
        </w:tc>
      </w:tr>
    </w:tbl>
    <w:p>
      <w:pPr>
        <w:pStyle w:val="Normal"/>
        <w:suppressAutoHyphens w:val="true"/>
        <w:ind w:end="-113" w:hanging="0"/>
        <w:jc w:val="both"/>
        <w:rPr>
          <w:rStyle w:val="Style14"/>
        </w:rPr>
      </w:pPr>
      <w:r>
        <w:rPr>
          <w:rStyle w:val="Style14"/>
          <w:rFonts w:cs="Arial"/>
          <w:szCs w:val="16"/>
          <w:vertAlign w:val="superscript"/>
        </w:rPr>
        <w:t>1)</w:t>
      </w:r>
      <w:r>
        <w:rPr>
          <w:rStyle w:val="Style14"/>
          <w:rFonts w:cs="Arial" w:ascii="Arial" w:hAnsi="Arial"/>
          <w:iCs/>
          <w:sz w:val="16"/>
          <w:szCs w:val="16"/>
        </w:rPr>
        <w:t xml:space="preserve"> </w:t>
      </w:r>
      <w:r>
        <w:rPr>
          <w:rStyle w:val="Style14"/>
          <w:szCs w:val="16"/>
        </w:rPr>
        <w:t>Индекс промышленного производства исчисляется по видам деятельности «Добыча полезных ископаемых», «Обрабатывающие производства», «</w:t>
      </w:r>
      <w:r>
        <w:rPr>
          <w:rStyle w:val="Style14"/>
          <w:rFonts w:cs="Arial"/>
          <w:szCs w:val="16"/>
        </w:rPr>
        <w:t>Обеспечение электрической энергией, газом и паром; кондиционирование воздуха</w:t>
      </w:r>
      <w:r>
        <w:rPr>
          <w:rStyle w:val="Style14"/>
          <w:szCs w:val="16"/>
        </w:rPr>
        <w:t>», «</w:t>
      </w:r>
      <w:r>
        <w:rPr>
          <w:rStyle w:val="Style14"/>
          <w:rFonts w:cs="Arial"/>
          <w:szCs w:val="16"/>
        </w:rPr>
        <w:t>Водоснабжение; водоотведение, организация сбора и утилизации отходов, деятельность по ликвидации загрязнений»</w:t>
      </w:r>
      <w:r>
        <w:rPr>
          <w:rStyle w:val="Style14"/>
          <w:szCs w:val="16"/>
        </w:rPr>
        <w:t xml:space="preserve"> на основе данных о динамике производства важнейших товаров-представителей (в натуральном или стоимостном выражении). В качестве весов используется структура валовой добавленной стоимости по видам экономической деятельности 2018 базисного года.</w:t>
      </w:r>
    </w:p>
    <w:p>
      <w:pPr>
        <w:pStyle w:val="Normal"/>
        <w:suppressAutoHyphens w:val="true"/>
        <w:ind w:end="-113" w:hanging="0"/>
        <w:jc w:val="both"/>
        <w:rPr>
          <w:rStyle w:val="Style14"/>
        </w:rPr>
      </w:pPr>
      <w:r>
        <w:rPr/>
      </w:r>
    </w:p>
    <w:p>
      <w:pPr>
        <w:pStyle w:val="Style21"/>
        <w:numPr>
          <w:ilvl w:val="0"/>
          <w:numId w:val="0"/>
        </w:numPr>
        <w:spacing w:before="60" w:after="20"/>
        <w:outlineLvl w:val="0"/>
        <w:rPr/>
      </w:pPr>
      <w:r>
        <w:rPr/>
        <w:t>Производство основных видов промышленной продукции</w:t>
      </w:r>
    </w:p>
    <w:tbl>
      <w:tblPr>
        <w:tblW w:w="4950" w:type="pct"/>
        <w:jc w:val="start"/>
        <w:tblInd w:w="-1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771"/>
        <w:gridCol w:w="1371"/>
        <w:gridCol w:w="1424"/>
      </w:tblGrid>
      <w:tr>
        <w:trPr>
          <w:tblHeader w:val="true"/>
          <w:cantSplit w:val="true"/>
        </w:trPr>
        <w:tc>
          <w:tcPr>
            <w:tcW w:w="37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ind w:start="-57" w:end="-57" w:hanging="0"/>
              <w:jc w:val="center"/>
              <w:rPr>
                <w:rStyle w:val="Style14"/>
                <w:color w:val="000000"/>
                <w:szCs w:val="16"/>
              </w:rPr>
            </w:pPr>
            <w:r>
              <w:rPr/>
            </w:r>
          </w:p>
          <w:p>
            <w:pPr>
              <w:pStyle w:val="Normal"/>
              <w:rPr>
                <w:rStyle w:val="Style14"/>
                <w:rFonts w:ascii="Arial" w:hAnsi="Arial" w:cs="Arial"/>
                <w:color w:val="000000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371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ind w:start="-57" w:end="-57" w:hanging="0"/>
              <w:jc w:val="center"/>
              <w:rPr>
                <w:rStyle w:val="Style14"/>
                <w:color w:val="000000"/>
                <w:szCs w:val="16"/>
                <w:lang w:val="en-US"/>
              </w:rPr>
            </w:pPr>
            <w:r>
              <w:rPr>
                <w:rStyle w:val="Style14"/>
                <w:color w:val="000000"/>
                <w:szCs w:val="16"/>
              </w:rPr>
              <w:t xml:space="preserve">Январь </w:t>
            </w:r>
            <w:r>
              <w:rPr>
                <w:rStyle w:val="Style14"/>
                <w:color w:val="000000"/>
                <w:szCs w:val="16"/>
                <w:lang w:val="en-US"/>
              </w:rPr>
              <w:t>-</w:t>
            </w:r>
            <w:r>
              <w:rPr>
                <w:rStyle w:val="Style14"/>
                <w:color w:val="000000"/>
                <w:szCs w:val="16"/>
              </w:rPr>
              <w:t xml:space="preserve"> март 2021г.</w:t>
            </w:r>
          </w:p>
        </w:tc>
        <w:tc>
          <w:tcPr>
            <w:tcW w:w="1424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ind w:start="-57" w:end="-57" w:hanging="0"/>
              <w:jc w:val="center"/>
              <w:rPr>
                <w:rStyle w:val="Style14"/>
                <w:color w:val="000000"/>
                <w:szCs w:val="16"/>
              </w:rPr>
            </w:pPr>
            <w:r>
              <w:rPr>
                <w:rStyle w:val="Style14"/>
                <w:color w:val="000000"/>
                <w:szCs w:val="16"/>
              </w:rPr>
              <w:t xml:space="preserve">Январь - март 2021г. в % к </w:t>
              <w:br/>
              <w:t>январю - марту  2020г.</w:t>
            </w:r>
          </w:p>
        </w:tc>
      </w:tr>
      <w:tr>
        <w:trPr>
          <w:trHeight w:val="50" w:hRule="atLeast"/>
          <w:cantSplit w:val="true"/>
        </w:trPr>
        <w:tc>
          <w:tcPr>
            <w:tcW w:w="3771" w:type="dxa"/>
            <w:tcBorders>
              <w:top w:val="single" w:sz="8" w:space="0" w:color="000000"/>
              <w:start w:val="single" w:sz="8" w:space="0" w:color="000000"/>
            </w:tcBorders>
            <w:vAlign w:val="bottom"/>
          </w:tcPr>
          <w:p>
            <w:pPr>
              <w:pStyle w:val="Normal"/>
              <w:keepNext w:val="true"/>
              <w:tabs>
                <w:tab w:val="clear" w:pos="708"/>
                <w:tab w:val="left" w:pos="113" w:leader="none"/>
              </w:tabs>
              <w:spacing w:before="20" w:after="10"/>
              <w:rPr>
                <w:rStyle w:val="Style14"/>
              </w:rPr>
            </w:pPr>
            <w:r>
              <w:rPr>
                <w:rStyle w:val="Style14"/>
              </w:rPr>
              <w:t>Электроэнергия, млрд кВт</w:t>
            </w:r>
            <w:r>
              <w:rPr>
                <w:rStyle w:val="Style14"/>
                <w:rFonts w:cs="Arial"/>
              </w:rPr>
              <w:t>·</w:t>
            </w:r>
            <w:r>
              <w:rPr>
                <w:rStyle w:val="Style14"/>
              </w:rPr>
              <w:t>ч</w:t>
            </w:r>
          </w:p>
        </w:tc>
        <w:tc>
          <w:tcPr>
            <w:tcW w:w="1371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0,5</w:t>
            </w:r>
          </w:p>
        </w:tc>
        <w:tc>
          <w:tcPr>
            <w:tcW w:w="1424" w:type="dxa"/>
            <w:tcBorders>
              <w:top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89,5</w:t>
            </w:r>
          </w:p>
        </w:tc>
      </w:tr>
      <w:tr>
        <w:trPr>
          <w:trHeight w:val="70" w:hRule="atLeast"/>
          <w:cantSplit w:val="true"/>
        </w:trPr>
        <w:tc>
          <w:tcPr>
            <w:tcW w:w="3771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  <w:tab w:val="left" w:pos="113" w:leader="none"/>
              </w:tabs>
              <w:spacing w:before="20" w:after="10"/>
              <w:rPr/>
            </w:pPr>
            <w:r>
              <w:rPr>
                <w:rStyle w:val="Style14"/>
              </w:rPr>
              <w:t>Пар и горячая вода, млн Гкал</w:t>
            </w:r>
          </w:p>
        </w:tc>
        <w:tc>
          <w:tcPr>
            <w:tcW w:w="1371" w:type="dxa"/>
            <w:tcBorders/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0,3</w:t>
            </w:r>
          </w:p>
        </w:tc>
        <w:tc>
          <w:tcPr>
            <w:tcW w:w="14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104,8</w:t>
            </w:r>
          </w:p>
        </w:tc>
      </w:tr>
      <w:tr>
        <w:trPr>
          <w:cantSplit w:val="true"/>
        </w:trPr>
        <w:tc>
          <w:tcPr>
            <w:tcW w:w="3771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  <w:tab w:val="left" w:pos="113" w:leader="none"/>
              </w:tabs>
              <w:spacing w:before="20" w:after="10"/>
              <w:rPr>
                <w:rStyle w:val="Style14"/>
              </w:rPr>
            </w:pPr>
            <w:r>
              <w:rPr>
                <w:rStyle w:val="Style14"/>
              </w:rPr>
              <w:t>Нефть обезвоженная, обессоленная и стабилизированная, включая газовый конденсат, млн т</w:t>
            </w:r>
          </w:p>
        </w:tc>
        <w:tc>
          <w:tcPr>
            <w:tcW w:w="1371" w:type="dxa"/>
            <w:tcBorders/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3,5</w:t>
            </w:r>
          </w:p>
        </w:tc>
        <w:tc>
          <w:tcPr>
            <w:tcW w:w="14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88,5</w:t>
            </w:r>
          </w:p>
        </w:tc>
      </w:tr>
      <w:tr>
        <w:trPr>
          <w:cantSplit w:val="true"/>
        </w:trPr>
        <w:tc>
          <w:tcPr>
            <w:tcW w:w="3771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  <w:tab w:val="left" w:pos="113" w:leader="none"/>
              </w:tabs>
              <w:spacing w:before="20" w:after="10"/>
              <w:ind w:firstLine="1"/>
              <w:rPr/>
            </w:pPr>
            <w:r>
              <w:rPr>
                <w:rStyle w:val="Style14"/>
              </w:rPr>
              <w:t>Изделия хлебобулочные недлительного хранения, тыс. т</w:t>
            </w:r>
          </w:p>
        </w:tc>
        <w:tc>
          <w:tcPr>
            <w:tcW w:w="1371" w:type="dxa"/>
            <w:tcBorders/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0,4</w:t>
            </w:r>
          </w:p>
        </w:tc>
        <w:tc>
          <w:tcPr>
            <w:tcW w:w="14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91,2</w:t>
            </w:r>
          </w:p>
        </w:tc>
      </w:tr>
      <w:tr>
        <w:trPr>
          <w:cantSplit w:val="true"/>
        </w:trPr>
        <w:tc>
          <w:tcPr>
            <w:tcW w:w="3771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  <w:tab w:val="left" w:pos="113" w:leader="none"/>
              </w:tabs>
              <w:spacing w:before="20" w:after="10"/>
              <w:ind w:firstLine="1"/>
              <w:rPr/>
            </w:pPr>
            <w:r>
              <w:rPr>
                <w:rStyle w:val="Style14"/>
              </w:rPr>
              <w:t xml:space="preserve">Изделия хлебобулочные длительного хранения, </w:t>
              <w:br/>
              <w:t>изделия хлебобулочные пониженной влажности, полуфабрикаты хлебобулочные, тыс. т</w:t>
            </w:r>
          </w:p>
        </w:tc>
        <w:tc>
          <w:tcPr>
            <w:tcW w:w="1371" w:type="dxa"/>
            <w:tcBorders/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0,0</w:t>
            </w:r>
          </w:p>
        </w:tc>
        <w:tc>
          <w:tcPr>
            <w:tcW w:w="14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в 1,7р.</w:t>
            </w:r>
          </w:p>
        </w:tc>
      </w:tr>
      <w:tr>
        <w:trPr>
          <w:cantSplit w:val="true"/>
        </w:trPr>
        <w:tc>
          <w:tcPr>
            <w:tcW w:w="3771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  <w:tab w:val="left" w:pos="113" w:leader="none"/>
                <w:tab w:val="left" w:pos="284" w:leader="none"/>
              </w:tabs>
              <w:spacing w:before="20" w:after="10"/>
              <w:rPr/>
            </w:pPr>
            <w:r>
              <w:rPr>
                <w:rStyle w:val="Style14"/>
              </w:rPr>
              <w:t>Кондитерские изделия, т</w:t>
            </w:r>
          </w:p>
        </w:tc>
        <w:tc>
          <w:tcPr>
            <w:tcW w:w="1371" w:type="dxa"/>
            <w:tcBorders/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9,9</w:t>
            </w:r>
          </w:p>
        </w:tc>
        <w:tc>
          <w:tcPr>
            <w:tcW w:w="14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93,3</w:t>
            </w:r>
          </w:p>
        </w:tc>
      </w:tr>
      <w:tr>
        <w:trPr>
          <w:cantSplit w:val="true"/>
        </w:trPr>
        <w:tc>
          <w:tcPr>
            <w:tcW w:w="3771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  <w:tab w:val="left" w:pos="113" w:leader="none"/>
              </w:tabs>
              <w:spacing w:before="20" w:after="10"/>
              <w:rPr/>
            </w:pPr>
            <w:r>
              <w:rPr>
                <w:rStyle w:val="Style14"/>
              </w:rPr>
              <w:t xml:space="preserve">Мясо крупного рогатого скота, свинина, баранина, козлятина, конина и мясо прочих животных </w:t>
              <w:br/>
              <w:t xml:space="preserve">семейства лошадиных, оленина и мясо прочих </w:t>
              <w:br/>
              <w:t>животных семейства оленьих (оленевых) парные, остывшие или охлажденные, т</w:t>
            </w:r>
          </w:p>
        </w:tc>
        <w:tc>
          <w:tcPr>
            <w:tcW w:w="1371" w:type="dxa"/>
            <w:tcBorders/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...</w:t>
            </w:r>
            <w:r>
              <w:rPr>
                <w:rStyle w:val="Style14"/>
                <w:szCs w:val="16"/>
                <w:vertAlign w:val="superscript"/>
              </w:rPr>
              <w:t>1)</w:t>
            </w:r>
          </w:p>
        </w:tc>
        <w:tc>
          <w:tcPr>
            <w:tcW w:w="14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140,4</w:t>
            </w:r>
          </w:p>
        </w:tc>
      </w:tr>
      <w:tr>
        <w:trPr>
          <w:cantSplit w:val="true"/>
        </w:trPr>
        <w:tc>
          <w:tcPr>
            <w:tcW w:w="3771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  <w:tab w:val="left" w:pos="113" w:leader="none"/>
              </w:tabs>
              <w:spacing w:before="20" w:after="10"/>
              <w:rPr/>
            </w:pPr>
            <w:r>
              <w:rPr>
                <w:rStyle w:val="Style14"/>
              </w:rPr>
              <w:t xml:space="preserve">Оленина и мясо прочих животных семейства </w:t>
              <w:br/>
              <w:t xml:space="preserve">оленьих (оленевых) и субпродукты пищевые </w:t>
              <w:br/>
              <w:t>замороженные, в том числе для детского питания, т</w:t>
            </w:r>
          </w:p>
        </w:tc>
        <w:tc>
          <w:tcPr>
            <w:tcW w:w="1371" w:type="dxa"/>
            <w:tcBorders/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99,3</w:t>
            </w:r>
          </w:p>
        </w:tc>
        <w:tc>
          <w:tcPr>
            <w:tcW w:w="14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в 2,6р.</w:t>
            </w:r>
          </w:p>
        </w:tc>
      </w:tr>
      <w:tr>
        <w:trPr>
          <w:cantSplit w:val="true"/>
        </w:trPr>
        <w:tc>
          <w:tcPr>
            <w:tcW w:w="3771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  <w:tab w:val="left" w:pos="113" w:leader="none"/>
              </w:tabs>
              <w:spacing w:before="20" w:after="10"/>
              <w:rPr/>
            </w:pPr>
            <w:r>
              <w:rPr>
                <w:rStyle w:val="Style14"/>
              </w:rPr>
              <w:t>Изделия колбасные, включая  изделия колбасные для детского питания, тыс. т</w:t>
            </w:r>
          </w:p>
        </w:tc>
        <w:tc>
          <w:tcPr>
            <w:tcW w:w="1371" w:type="dxa"/>
            <w:tcBorders/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...</w:t>
            </w:r>
            <w:r>
              <w:rPr>
                <w:rStyle w:val="Style14"/>
                <w:szCs w:val="16"/>
                <w:vertAlign w:val="superscript"/>
              </w:rPr>
              <w:t>1)</w:t>
            </w:r>
          </w:p>
        </w:tc>
        <w:tc>
          <w:tcPr>
            <w:tcW w:w="14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90,5</w:t>
            </w:r>
          </w:p>
        </w:tc>
      </w:tr>
      <w:tr>
        <w:trPr>
          <w:cantSplit w:val="true"/>
        </w:trPr>
        <w:tc>
          <w:tcPr>
            <w:tcW w:w="3771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  <w:tab w:val="left" w:pos="113" w:leader="none"/>
              </w:tabs>
              <w:spacing w:before="20" w:after="10"/>
              <w:rPr/>
            </w:pPr>
            <w:r>
              <w:rPr>
                <w:rStyle w:val="Style14"/>
              </w:rPr>
              <w:t xml:space="preserve">Полуфабрикаты мясные, мясосодержащие, </w:t>
              <w:br/>
              <w:t>охлажденные, замороженные, тыс. т</w:t>
            </w:r>
          </w:p>
        </w:tc>
        <w:tc>
          <w:tcPr>
            <w:tcW w:w="1371" w:type="dxa"/>
            <w:tcBorders/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...</w:t>
            </w:r>
            <w:r>
              <w:rPr>
                <w:rStyle w:val="Style14"/>
                <w:szCs w:val="16"/>
                <w:vertAlign w:val="superscript"/>
              </w:rPr>
              <w:t>1)</w:t>
            </w:r>
          </w:p>
        </w:tc>
        <w:tc>
          <w:tcPr>
            <w:tcW w:w="14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104,6</w:t>
            </w:r>
          </w:p>
        </w:tc>
      </w:tr>
      <w:tr>
        <w:trPr>
          <w:cantSplit w:val="true"/>
        </w:trPr>
        <w:tc>
          <w:tcPr>
            <w:tcW w:w="3771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rPr>
                <w:rStyle w:val="Style14"/>
                <w:rFonts w:cs="Arial"/>
                <w:color w:val="FF0000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Молоко, кроме сырого, тыс. </w:t>
            </w:r>
            <w:r>
              <w:rPr>
                <w:rStyle w:val="Style14"/>
                <w:rFonts w:cs="Arial"/>
                <w:szCs w:val="16"/>
              </w:rPr>
              <w:t>т</w:t>
            </w:r>
          </w:p>
        </w:tc>
        <w:tc>
          <w:tcPr>
            <w:tcW w:w="1371" w:type="dxa"/>
            <w:tcBorders/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0,2</w:t>
            </w:r>
          </w:p>
        </w:tc>
        <w:tc>
          <w:tcPr>
            <w:tcW w:w="14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105,8</w:t>
            </w:r>
          </w:p>
        </w:tc>
      </w:tr>
      <w:tr>
        <w:trPr>
          <w:cantSplit w:val="true"/>
        </w:trPr>
        <w:tc>
          <w:tcPr>
            <w:tcW w:w="3771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  <w:tab w:val="left" w:pos="113" w:leader="none"/>
              </w:tabs>
              <w:spacing w:before="20" w:after="10"/>
              <w:rPr/>
            </w:pPr>
            <w:r>
              <w:rPr>
                <w:rStyle w:val="Style14"/>
              </w:rPr>
              <w:t>Масло сливочное и пасты масляные, т</w:t>
            </w:r>
          </w:p>
        </w:tc>
        <w:tc>
          <w:tcPr>
            <w:tcW w:w="1371" w:type="dxa"/>
            <w:tcBorders/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14,7</w:t>
            </w:r>
          </w:p>
        </w:tc>
        <w:tc>
          <w:tcPr>
            <w:tcW w:w="14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109,1</w:t>
            </w:r>
          </w:p>
        </w:tc>
      </w:tr>
      <w:tr>
        <w:trPr>
          <w:cantSplit w:val="true"/>
        </w:trPr>
        <w:tc>
          <w:tcPr>
            <w:tcW w:w="3771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 xml:space="preserve">Рыба переработанная и консервированная, </w:t>
              <w:br/>
              <w:t xml:space="preserve">ракообразные и моллюски, </w:t>
            </w:r>
            <w:r>
              <w:rPr>
                <w:rStyle w:val="Style14"/>
                <w:rFonts w:cs="Arial"/>
                <w:szCs w:val="16"/>
              </w:rPr>
              <w:t>тыс. т</w:t>
            </w:r>
          </w:p>
        </w:tc>
        <w:tc>
          <w:tcPr>
            <w:tcW w:w="1371" w:type="dxa"/>
            <w:tcBorders/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...</w:t>
            </w:r>
            <w:r>
              <w:rPr>
                <w:rStyle w:val="Style14"/>
                <w:szCs w:val="16"/>
                <w:vertAlign w:val="superscript"/>
              </w:rPr>
              <w:t>1)</w:t>
            </w:r>
          </w:p>
        </w:tc>
        <w:tc>
          <w:tcPr>
            <w:tcW w:w="14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117,4</w:t>
            </w:r>
          </w:p>
        </w:tc>
      </w:tr>
      <w:tr>
        <w:trPr>
          <w:cantSplit w:val="true"/>
        </w:trPr>
        <w:tc>
          <w:tcPr>
            <w:tcW w:w="3771" w:type="dxa"/>
            <w:tcBorders>
              <w:star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start="170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Style14"/>
              </w:rPr>
              <w:t>пресервы рыбные, тыс. усл. банок</w:t>
            </w:r>
          </w:p>
        </w:tc>
        <w:tc>
          <w:tcPr>
            <w:tcW w:w="137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...</w:t>
            </w:r>
            <w:r>
              <w:rPr>
                <w:rStyle w:val="Style14"/>
                <w:szCs w:val="16"/>
                <w:vertAlign w:val="superscript"/>
              </w:rPr>
              <w:t>1)</w:t>
            </w:r>
          </w:p>
        </w:tc>
        <w:tc>
          <w:tcPr>
            <w:tcW w:w="1424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ind w:start="-57" w:end="284" w:hanging="0"/>
              <w:jc w:val="end"/>
              <w:rPr>
                <w:rStyle w:val="Style14"/>
                <w:szCs w:val="16"/>
              </w:rPr>
            </w:pPr>
            <w:r>
              <w:rPr>
                <w:rStyle w:val="Style14"/>
                <w:szCs w:val="16"/>
              </w:rPr>
              <w:t>78,8</w:t>
            </w:r>
          </w:p>
        </w:tc>
      </w:tr>
    </w:tbl>
    <w:p>
      <w:pPr>
        <w:pStyle w:val="Normal"/>
        <w:ind w:start="-57" w:hanging="0"/>
        <w:jc w:val="both"/>
        <w:rPr/>
      </w:pPr>
      <w:r>
        <w:rPr>
          <w:rStyle w:val="Style14"/>
          <w:rFonts w:cs="Arial" w:ascii="Arial" w:hAnsi="Arial"/>
          <w:sz w:val="16"/>
          <w:szCs w:val="16"/>
          <w:vertAlign w:val="superscript"/>
        </w:rPr>
        <w:t>1)</w:t>
      </w:r>
      <w:r>
        <w:rPr>
          <w:rStyle w:val="Style14"/>
          <w:rFonts w:cs="Arial" w:ascii="Arial" w:hAnsi="Arial"/>
          <w:sz w:val="16"/>
          <w:szCs w:val="16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"Об официальном статистическом учете и системе государственной статистики в Российской Федерации" (ст.4, п.5; ст.9, п.1).</w:t>
      </w:r>
    </w:p>
    <w:p>
      <w:pPr>
        <w:pStyle w:val="Normal"/>
        <w:ind w:start="-57" w:hanging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sectPr>
      <w:headerReference w:type="default" r:id="rId2"/>
      <w:type w:val="nextPage"/>
      <w:pgSz w:w="8391" w:h="11906"/>
      <w:pgMar w:left="624" w:right="1134" w:header="709" w:top="1021" w:footer="0" w:bottom="10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Tahoma">
    <w:charset w:val="cc" w:characterSet="windows-1251"/>
    <w:family w:val="swiss"/>
    <w:pitch w:val="variable"/>
  </w:font>
  <w:font w:name="Courier New">
    <w:charset w:val="cc" w:characterSet="windows-1251"/>
    <w:family w:val="modern"/>
    <w:pitch w:val="default"/>
  </w:font>
  <w:font w:name="DejaVu Sans"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>
        <w:sz w:val="14"/>
        <w:szCs w:val="14"/>
      </w:rPr>
    </w:pPr>
    <w:r>
      <w:rPr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mirrorMargins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120" w:after="60"/>
      <w:jc w:val="center"/>
      <w:outlineLvl w:val="2"/>
    </w:pPr>
    <w:rPr>
      <w:rFonts w:ascii="Arial" w:hAnsi="Arial" w:cs="Arial"/>
      <w:b/>
      <w:sz w:val="18"/>
      <w:lang w:val="en-US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Style13">
    <w:name w:val="Основной шрифт абзаца"/>
    <w:qFormat/>
    <w:rPr/>
  </w:style>
  <w:style w:type="character" w:styleId="Style14">
    <w:name w:val="Текст в табл"/>
    <w:qFormat/>
    <w:rPr>
      <w:rFonts w:ascii="Arial" w:hAnsi="Arial" w:cs="Arial"/>
      <w:sz w:val="16"/>
      <w:lang w:val="ru-RU"/>
    </w:rPr>
  </w:style>
  <w:style w:type="character" w:styleId="1">
    <w:name w:val="Заголовок подраздела Знак1"/>
    <w:qFormat/>
    <w:rPr>
      <w:rFonts w:ascii="Arial" w:hAnsi="Arial" w:eastAsia="Times New Roman" w:cs="Arial"/>
      <w:b/>
      <w:lang w:val="ru-RU" w:bidi="ar-SA"/>
    </w:rPr>
  </w:style>
  <w:style w:type="character" w:styleId="Style15">
    <w:name w:val="Схема документа Знак"/>
    <w:qFormat/>
    <w:rPr>
      <w:rFonts w:ascii="Tahoma" w:hAnsi="Tahoma" w:eastAsia="Times New Roman" w:cs="Tahoma"/>
      <w:sz w:val="16"/>
      <w:szCs w:val="16"/>
    </w:rPr>
  </w:style>
  <w:style w:type="character" w:styleId="Style16">
    <w:name w:val="Верхний колонтитул Знак"/>
    <w:qFormat/>
    <w:rPr>
      <w:rFonts w:ascii="Arial" w:hAnsi="Arial" w:eastAsia="Times New Roman" w:cs="Arial"/>
    </w:rPr>
  </w:style>
  <w:style w:type="character" w:styleId="Style17">
    <w:name w:val="Текст Знак"/>
    <w:qFormat/>
    <w:rPr>
      <w:rFonts w:ascii="Courier New" w:hAnsi="Courier New" w:eastAsia="Times New Roman" w:cs="Courier New"/>
    </w:rPr>
  </w:style>
  <w:style w:type="character" w:styleId="Style18">
    <w:name w:val="Нижний колонтитул Знак"/>
    <w:qFormat/>
    <w:rPr>
      <w:rFonts w:ascii="Times New Roman" w:hAnsi="Times New Roman" w:eastAsia="Times New Roman" w:cs="Times New Roman"/>
    </w:rPr>
  </w:style>
  <w:style w:type="character" w:styleId="3">
    <w:name w:val="Заголовок 3 Знак"/>
    <w:qFormat/>
    <w:rPr>
      <w:rFonts w:ascii="Arial" w:hAnsi="Arial" w:eastAsia="Times New Roman" w:cs="Arial"/>
      <w:b/>
      <w:sz w:val="18"/>
    </w:rPr>
  </w:style>
  <w:style w:type="character" w:styleId="Style19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0">
    <w:name w:val="Заголовок подраздела"/>
    <w:next w:val="Normal"/>
    <w:qFormat/>
    <w:pPr>
      <w:widowControl/>
      <w:bidi w:val="0"/>
      <w:spacing w:before="60" w:after="60"/>
      <w:jc w:val="center"/>
      <w:outlineLvl w:val="1"/>
    </w:pPr>
    <w:rPr>
      <w:rFonts w:ascii="Arial" w:hAnsi="Arial" w:eastAsia="Times New Roman" w:cs="Arial"/>
      <w:b/>
      <w:color w:val="auto"/>
      <w:sz w:val="20"/>
      <w:szCs w:val="20"/>
      <w:lang w:val="ru-RU" w:bidi="ar-SA" w:eastAsia="zh-CN"/>
    </w:rPr>
  </w:style>
  <w:style w:type="paragraph" w:styleId="Style21">
    <w:name w:val="Текст (цнтр)"/>
    <w:basedOn w:val="Normal"/>
    <w:next w:val="Normal"/>
    <w:qFormat/>
    <w:pPr>
      <w:spacing w:before="60" w:after="60"/>
      <w:jc w:val="center"/>
    </w:pPr>
    <w:rPr>
      <w:rFonts w:ascii="Arial" w:hAnsi="Arial" w:cs="Arial"/>
      <w:sz w:val="18"/>
    </w:rPr>
  </w:style>
  <w:style w:type="paragraph" w:styleId="Style22">
    <w:name w:val="Схема документа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jc w:val="center"/>
    </w:pPr>
    <w:rPr>
      <w:rFonts w:ascii="Arial" w:hAnsi="Arial" w:cs="Arial"/>
      <w:lang w:val="en-US"/>
    </w:rPr>
  </w:style>
  <w:style w:type="paragraph" w:styleId="Style23">
    <w:name w:val="Текст"/>
    <w:basedOn w:val="Normal"/>
    <w:qFormat/>
    <w:pPr/>
    <w:rPr>
      <w:rFonts w:ascii="Courier New" w:hAnsi="Courier New" w:cs="Courier New"/>
      <w:lang w:val="en-US"/>
    </w:rPr>
  </w:style>
  <w:style w:type="paragraph" w:styleId="Style24">
    <w:name w:val="Текст (лев)"/>
    <w:qFormat/>
    <w:pPr>
      <w:widowControl/>
      <w:bidi w:val="0"/>
      <w:spacing w:before="60" w:after="0"/>
      <w:ind w:firstLine="567"/>
      <w:jc w:val="both"/>
    </w:pPr>
    <w:rPr>
      <w:rFonts w:ascii="Arial" w:hAnsi="Arial" w:eastAsia="Times New Roman" w:cs="Arial"/>
      <w:color w:val="auto"/>
      <w:sz w:val="18"/>
      <w:szCs w:val="20"/>
      <w:lang w:val="ru-RU" w:bidi="ar-SA" w:eastAsia="zh-CN"/>
    </w:rPr>
  </w:style>
  <w:style w:type="paragraph" w:styleId="Style25">
    <w:name w:val="абз"/>
    <w:basedOn w:val="Normal"/>
    <w:qFormat/>
    <w:pPr>
      <w:ind w:firstLine="720"/>
      <w:jc w:val="both"/>
    </w:pPr>
    <w:rPr>
      <w:sz w:val="28"/>
    </w:rPr>
  </w:style>
  <w:style w:type="paragraph" w:styleId="Style26">
    <w:name w:val="Сноска"/>
    <w:basedOn w:val="Normal"/>
    <w:next w:val="Normal"/>
    <w:qFormat/>
    <w:pPr>
      <w:pBdr>
        <w:top w:val="single" w:sz="4" w:space="1" w:color="000000"/>
      </w:pBdr>
      <w:spacing w:before="40" w:after="0"/>
      <w:ind w:start="142" w:hanging="142"/>
      <w:jc w:val="both"/>
    </w:pPr>
    <w:rPr>
      <w:rFonts w:ascii="Arial" w:hAnsi="Arial" w:cs="Arial"/>
      <w:sz w:val="16"/>
    </w:rPr>
  </w:style>
  <w:style w:type="paragraph" w:styleId="Style27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en-US"/>
    </w:rPr>
  </w:style>
  <w:style w:type="paragraph" w:styleId="Style28">
    <w:name w:val="Текст выноски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Районный доклад_A5.dot</Template>
  <TotalTime>178</TotalTime>
  <Application>LibreOffice/6.4.6.2$Linux_X86_64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2019-10-14T06:16:00Z</dcterms:created>
  <dc:creator>Хлынова</dc:creator>
  <dc:description/>
  <cp:keywords/>
  <dc:language>en-US</dc:language>
  <cp:lastModifiedBy>Исакова Ольга Сергеевна</cp:lastModifiedBy>
  <cp:lastPrinted>2021-04-14T11:31:00Z</cp:lastPrinted>
  <dcterms:modified xsi:type="dcterms:W3CDTF">2021-04-14T08:33:00Z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VAR1 ???">
    <vt:lpwstr>DMVAR1 ГОД</vt:lpwstr>
  </property>
  <property fmtid="{D5CDD505-2E9C-101B-9397-08002B2CF9AE}" pid="3" name="DMVAR2 ?????">
    <vt:lpwstr>DMVAR2 МЕСЯЦ</vt:lpwstr>
  </property>
  <property fmtid="{D5CDD505-2E9C-101B-9397-08002B2CF9AE}" pid="4" name="DMVAR3 ??????????">
    <vt:lpwstr>DMVAR3 Территория</vt:lpwstr>
  </property>
</Properties>
</file>