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Bylazora Commercial Licence, Version 2</w:t>
      </w:r>
    </w:p>
    <w:p>
      <w:r>
        <w:t>Copyright (c) 2026 Bylazora. All rights reserved.</w:t>
      </w:r>
    </w:p>
    <w:p>
      <w:r>
        <w:t>This licence covers (a) the closed software of Bylazora (the licence portal,</w:t>
      </w:r>
    </w:p>
    <w:p>
      <w:r>
        <w:t>the managed-run dashboard, and their documentation) and (b) a commercial</w:t>
      </w:r>
    </w:p>
    <w:p>
      <w:r>
        <w:t>licence option for bylazora-core for licensees who cannot accept its AGPL</w:t>
      </w:r>
    </w:p>
    <w:p>
      <w:r>
        <w:t>terms or who embed it in closed products. bylazora-core itself is free</w:t>
      </w:r>
    </w:p>
    <w:p>
      <w:r>
        <w:t>software under AGPL-3.0-or-later (its parsers under Apache-2.0); nothing in</w:t>
      </w:r>
    </w:p>
    <w:p>
      <w:r>
        <w:t>this document changes that.</w:t>
      </w:r>
    </w:p>
    <w:p>
      <w:r>
        <w:t>1. Closed software. The licensor grants a non-exclusive, non-transferable</w:t>
      </w:r>
    </w:p>
    <w:p>
      <w:r>
        <w:t>licence to use the portal and dashboard, on the licensee's own</w:t>
      </w:r>
    </w:p>
    <w:p>
      <w:r>
        <w:t>infrastructure, to manage licence keys and run records. The licensor also</w:t>
      </w:r>
    </w:p>
    <w:p>
      <w:r>
        <w:t>offers these as a hosted managed run; hosted use is by subscription, not</w:t>
      </w:r>
    </w:p>
    <w:p>
      <w:r>
        <w:t>under this document.</w:t>
      </w:r>
    </w:p>
    <w:p>
      <w:r>
        <w:t>2. Commercial licence for the engine. By order or subscription, the licensor</w:t>
      </w:r>
    </w:p>
    <w:p>
      <w:r>
        <w:t>grants one named organisation the right to use, modify, and run</w:t>
      </w:r>
    </w:p>
    <w:p>
      <w:r>
        <w:t>bylazora-core without the AGPL obligations, including closed embedding,</w:t>
      </w:r>
    </w:p>
    <w:p>
      <w:r>
        <w:t>for its own workloads and its client engagements, at any scale and on any</w:t>
      </w:r>
    </w:p>
    <w:p>
      <w:r>
        <w:t>number of installations, including installations on its clients' own</w:t>
      </w:r>
    </w:p>
    <w:p>
      <w:r>
        <w:t>estates for the duration of an engagement. Every keyed run names the</w:t>
      </w:r>
    </w:p>
    <w:p>
      <w:r>
        <w:t>licensee. The client's continued production use after the engagement</w:t>
      </w:r>
    </w:p>
    <w:p>
      <w:r>
        <w:t>requires the client's own licence. Key expiry is signed into the key and</w:t>
      </w:r>
    </w:p>
    <w:p>
      <w:r>
        <w:t>enforced by the software, so engagement access ends on the licensed date</w:t>
      </w:r>
    </w:p>
    <w:p>
      <w:r>
        <w:t>unless renewed. There is no per-installation fee.</w:t>
      </w:r>
    </w:p>
    <w:p>
      <w:r>
        <w:t>3. Limits. The licensee may not (a) sublicense, resell, or redistribute the</w:t>
      </w:r>
    </w:p>
    <w:p>
      <w:r>
        <w:t>software; (b) use the software to operate, or to build, a competing</w:t>
      </w:r>
    </w:p>
    <w:p>
      <w:r>
        <w:t>migration service or product; (c) remove or alter any notice of licence or</w:t>
      </w:r>
    </w:p>
    <w:p>
      <w:r>
        <w:t>ownership. For the engine's AGPL path, the AGPL text governs; this licence</w:t>
      </w:r>
    </w:p>
    <w:p>
      <w:r>
        <w:t>only grants what the AGPL path cannot.</w:t>
      </w:r>
    </w:p>
    <w:p>
      <w:r>
        <w:t>4. No warranty. The software is provided "as is", without warranty of any</w:t>
      </w:r>
    </w:p>
    <w:p>
      <w:r>
        <w:t>kind. In no event shall the licensor be liable for any claim or damages</w:t>
      </w:r>
    </w:p>
    <w:p>
      <w:r>
        <w:t>arising from its use. Nothing in this licence transfers know-how: benchmark</w:t>
      </w:r>
    </w:p>
    <w:p>
      <w:r>
        <w:t>corpora, migration playbooks, replication recipes, and pricing remain the</w:t>
      </w:r>
    </w:p>
    <w:p>
      <w:r>
        <w:t>licensor's trade secrets.</w:t>
      </w:r>
    </w:p>
    <w:p>
      <w:r>
        <w:t>5. Termination. The licence terminates on breach or on expiry of the agreed</w:t>
      </w:r>
    </w:p>
    <w:p>
      <w:r>
        <w:t>term. All provisions limiting liability survive termination.</w:t>
      </w:r>
    </w:p>
    <w:p>
      <w:r>
        <w:t>6. Privacy and offline operation. The engine performs no network</w:t>
      </w:r>
    </w:p>
    <w:p>
      <w:r>
        <w:t>communication and sends no telemetry; licence verification is local, from</w:t>
      </w:r>
    </w:p>
    <w:p>
      <w:r>
        <w:t>the key and the system clock, so the software operates in air-gapped</w:t>
      </w:r>
    </w:p>
    <w:p>
      <w:r>
        <w:t>environments.</w:t>
      </w:r>
    </w:p>
    <w:p>
      <w:r>
        <w:t>7. Governing law. This licence is governed by the laws of New South Wales,</w:t>
      </w:r>
    </w:p>
    <w:p>
      <w:r>
        <w:t>Australia. The parties submit to the non-exclusive jurisdiction of its</w:t>
      </w:r>
    </w:p>
    <w:p>
      <w:r>
        <w:t>courts.</w:t>
      </w:r>
    </w:p>
    <w:p>
      <w:r>
        <w:t>Note: this text is a working draft for review by counsel before any</w:t>
      </w:r>
    </w:p>
    <w:p>
      <w:r>
        <w:t>commercial signature.</w:t>
      </w:r>
    </w:p>
    <w:p>
      <w:r>
        <w:rPr>
          <w:b/>
          <w:color w:val="1F4E79"/>
        </w:rPr>
        <w:t>For further information: https://bylazora.com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Bylazora | https://bylazora.com | Proof, not percentages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Bylazora Commercial Licence  |  https://bylazora.com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