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Vectorshift Commercial Licence</w:t>
      </w:r>
    </w:p>
    <w:p>
      <w:r>
        <w:t>Copyright (c) 2026 Vectorshift. All rights reserved.</w:t>
      </w:r>
    </w:p>
    <w:p>
      <w:r>
        <w:t>1. Grant. The licensor grants the licensee a non-exclusive, non-transferable</w:t>
      </w:r>
    </w:p>
    <w:p>
      <w:r>
        <w:t>licence to install and use the software and its documentation, in source or</w:t>
      </w:r>
    </w:p>
    <w:p>
      <w:r>
        <w:t>binary form, solely for migrating the licensee's own workloads or, under a</w:t>
      </w:r>
    </w:p>
    <w:p>
      <w:r>
        <w:t>per-engagement licence, the workloads of a single named client engagement.</w:t>
      </w:r>
    </w:p>
    <w:p>
      <w:r>
        <w:t>2. Limits. The licensee may not (a) sublicense, resell, or redistribute the</w:t>
      </w:r>
    </w:p>
    <w:p>
      <w:r>
        <w:t>software; (b) use the software to operate, or to build, a competing migration</w:t>
      </w:r>
    </w:p>
    <w:p>
      <w:r>
        <w:t>service or product; (c) remove or alter any notice of this licence.</w:t>
      </w:r>
    </w:p>
    <w:p>
      <w:r>
        <w:t>3. Licence models. Annual site licence: use within one named organisation for</w:t>
      </w:r>
    </w:p>
    <w:p>
      <w:r>
        <w:t>any number of its workloads. Per-engagement licence: use within one named</w:t>
      </w:r>
    </w:p>
    <w:p>
      <w:r>
        <w:t>migration engagement, including by the integrator and the client jointly.</w:t>
      </w:r>
    </w:p>
    <w:p>
      <w:r>
        <w:t>4. No warranty. The software is provided "as is", without warranty of any</w:t>
      </w:r>
    </w:p>
    <w:p>
      <w:r>
        <w:t>kind. In no event shall the licensor be liable for any claim or damages</w:t>
      </w:r>
    </w:p>
    <w:p>
      <w:r>
        <w:t>arising from its use. Nothing in this licence transfers know-how: benchmark</w:t>
      </w:r>
    </w:p>
    <w:p>
      <w:r>
        <w:t>corpora, migration playbooks, replication recipes, and pricing remain the</w:t>
      </w:r>
    </w:p>
    <w:p>
      <w:r>
        <w:t>licensor's trade secrets.</w:t>
      </w:r>
    </w:p>
    <w:p>
      <w:r>
        <w:t>5. Termination. The licence terminates on breach or on expiry of the agreed</w:t>
      </w:r>
    </w:p>
    <w:p>
      <w:r>
        <w:t>term. All provisions limiting liability survive termination.</w:t>
      </w:r>
    </w:p>
    <w:p>
      <w:r>
        <w:t>6. Order form. This licence is granted only on execution of an order form</w:t>
      </w:r>
    </w:p>
    <w:p>
      <w:r>
        <w:t>that specifies the licence model (annual site or per-engagement), the named</w:t>
      </w:r>
    </w:p>
    <w:p>
      <w:r>
        <w:t>organisation or engagement, the term, the fee, and any minimum-engagement</w:t>
      </w:r>
    </w:p>
    <w:p>
      <w:r>
        <w:t>commitment. Evaluation before an order form is limited to the proof trial:</w:t>
      </w:r>
    </w:p>
    <w:p>
      <w:r>
        <w:t>one named client job, for assessment, in the licensee's own environment.</w:t>
      </w:r>
    </w:p>
    <w:p>
      <w:r>
        <w:t>7. Governing law. This licence is governed by the laws of New South Wales,</w:t>
      </w:r>
    </w:p>
    <w:p>
      <w:r>
        <w:t>Australia. The parties submit to the non-exclusive jurisdiction of its courts.</w:t>
      </w:r>
    </w:p>
    <w:p>
      <w:r>
        <w:t>Note: this text is a working draft for review by counsel before any</w:t>
      </w:r>
    </w:p>
    <w:p>
      <w:r>
        <w:t>commercial signature.</w:t>
      </w:r>
    </w:p>
    <w:p>
      <w:r>
        <w:rPr>
          <w:b/>
          <w:color w:val="1F4E79"/>
        </w:rPr>
        <w:t>For further information: https://vectorshift.axoquant.com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Provecta | https://vectorshift.axoquant.com | Proof, not percentages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Provecta Commercial Licence  |  https://vectorshift.axoquant.com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