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240" w:line="300" w:lineRule="auto"/>
        <w:jc w:val="center"/>
      </w:pPr>
      <w:r>
        <w:rPr>
          <w:rFonts w:ascii="Microsoft YaHei" w:hAnsi="Microsoft YaHei" w:eastAsia="微软雅黑"/>
          <w:b/>
          <w:color w:val="000000"/>
          <w:sz w:val="42"/>
        </w:rPr>
        <w:t>多模态基层安全隐患智能研判与处置辅助系统项目计划书</w:t>
      </w:r>
    </w:p>
    <w:p>
      <w:pPr>
        <w:spacing w:after="160"/>
        <w:jc w:val="center"/>
      </w:pPr>
      <w:r>
        <w:rPr>
          <w:rFonts w:ascii="Microsoft YaHei" w:hAnsi="Microsoft YaHei" w:eastAsia="微软雅黑"/>
          <w:b w:val="0"/>
          <w:color w:val="000000"/>
          <w:sz w:val="24"/>
        </w:rPr>
        <w:t>大学生大模型创新大赛参赛项目 · 技术方案与实施路线</w:t>
      </w:r>
    </w:p>
    <w:p>
      <w:pPr>
        <w:spacing w:after="280"/>
        <w:jc w:val="center"/>
      </w:pPr>
      <w:r>
        <w:rPr>
          <w:rFonts w:ascii="Times New Roman" w:hAnsi="Times New Roman" w:eastAsia="宋体"/>
          <w:b w:val="0"/>
          <w:color w:val="000000"/>
          <w:sz w:val="21"/>
        </w:rPr>
        <w:t>编制日期：2026年9月</w:t>
      </w:r>
    </w:p>
    <w:p>
      <w:pPr>
        <w:spacing w:before="320" w:after="120"/>
        <w:jc w:val="center"/>
      </w:pPr>
      <w:r>
        <w:rPr>
          <w:rFonts w:ascii="Microsoft YaHei" w:hAnsi="Microsoft YaHei" w:eastAsia="微软雅黑"/>
          <w:b/>
          <w:color w:val="000000"/>
          <w:sz w:val="26"/>
        </w:rPr>
        <w:t>项目概览</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ayout w:type="fixed"/>
      </w:tblPr>
      <w:tblGrid>
        <w:gridCol w:w="4592"/>
        <w:gridCol w:w="4592"/>
      </w:tblGrid>
      <w:tr>
        <w:trPr>
          <w:tblHeader w:val="true"/>
        </w:trPr>
        <w:tc>
          <w:tcPr>
            <w:tcW w:type="dxa" w:w="2381"/>
            <w:shd w:val="clear" w:color="auto" w:fill="1F4E79"/>
            <w:vAlign w:val="center"/>
          </w:tcPr>
          <w:p>
            <w:pPr>
              <w:spacing w:line="276" w:lineRule="auto" w:before="20" w:after="20"/>
              <w:jc w:val="center"/>
            </w:pPr>
            <w:r>
              <w:rPr>
                <w:rFonts w:ascii="Times New Roman" w:hAnsi="Times New Roman" w:eastAsia="宋体"/>
                <w:b/>
                <w:color w:val="FFFFFF"/>
                <w:sz w:val="19"/>
              </w:rPr>
              <w:t>项目</w:t>
            </w:r>
          </w:p>
        </w:tc>
        <w:tc>
          <w:tcPr>
            <w:tcW w:type="dxa" w:w="6803"/>
            <w:shd w:val="clear" w:color="auto" w:fill="1F4E79"/>
            <w:vAlign w:val="center"/>
          </w:tcPr>
          <w:p>
            <w:pPr>
              <w:spacing w:line="276" w:lineRule="auto" w:before="20" w:after="20"/>
              <w:jc w:val="center"/>
            </w:pPr>
            <w:r>
              <w:rPr>
                <w:rFonts w:ascii="Times New Roman" w:hAnsi="Times New Roman" w:eastAsia="宋体"/>
                <w:b/>
                <w:color w:val="FFFFFF"/>
                <w:sz w:val="19"/>
              </w:rPr>
              <w:t>内容</w:t>
            </w:r>
          </w:p>
        </w:tc>
      </w:tr>
      <w:tr>
        <w:tc>
          <w:tcPr>
            <w:tcW w:type="dxa" w:w="2381"/>
            <w:vAlign w:val="center"/>
          </w:tcPr>
          <w:p>
            <w:pPr>
              <w:spacing w:line="276" w:lineRule="auto" w:before="20" w:after="20"/>
              <w:jc w:val="center"/>
            </w:pPr>
            <w:r>
              <w:rPr>
                <w:rFonts w:ascii="Times New Roman" w:hAnsi="Times New Roman" w:eastAsia="宋体"/>
                <w:b w:val="0"/>
                <w:color w:val="000000"/>
                <w:sz w:val="19"/>
              </w:rPr>
              <w:t>项目名称</w:t>
            </w:r>
          </w:p>
        </w:tc>
        <w:tc>
          <w:tcPr>
            <w:tcW w:type="dxa" w:w="6803"/>
            <w:vAlign w:val="center"/>
          </w:tcPr>
          <w:p>
            <w:pPr>
              <w:spacing w:line="276" w:lineRule="auto" w:before="20" w:after="20"/>
              <w:jc w:val="left"/>
            </w:pPr>
            <w:r>
              <w:rPr>
                <w:rFonts w:ascii="Times New Roman" w:hAnsi="Times New Roman" w:eastAsia="宋体"/>
                <w:b w:val="0"/>
                <w:color w:val="000000"/>
                <w:sz w:val="19"/>
              </w:rPr>
              <w:t>多模态基层安全隐患智能研判与处置辅助系统</w:t>
            </w:r>
          </w:p>
        </w:tc>
      </w:tr>
      <w:tr>
        <w:tc>
          <w:tcPr>
            <w:tcW w:type="dxa" w:w="2381"/>
            <w:shd w:val="clear" w:color="auto" w:fill="F2F6FA"/>
            <w:vAlign w:val="center"/>
          </w:tcPr>
          <w:p>
            <w:pPr>
              <w:spacing w:line="276" w:lineRule="auto" w:before="20" w:after="20"/>
              <w:jc w:val="center"/>
            </w:pPr>
            <w:r>
              <w:rPr>
                <w:rFonts w:ascii="Times New Roman" w:hAnsi="Times New Roman" w:eastAsia="宋体"/>
                <w:b w:val="0"/>
                <w:color w:val="000000"/>
                <w:sz w:val="19"/>
              </w:rPr>
              <w:t>项目定位</w:t>
            </w:r>
          </w:p>
        </w:tc>
        <w:tc>
          <w:tcPr>
            <w:tcW w:type="dxa" w:w="6803"/>
            <w:shd w:val="clear" w:color="auto" w:fill="F2F6FA"/>
            <w:vAlign w:val="center"/>
          </w:tcPr>
          <w:p>
            <w:pPr>
              <w:spacing w:line="276" w:lineRule="auto" w:before="20" w:after="20"/>
              <w:jc w:val="left"/>
            </w:pPr>
            <w:r>
              <w:rPr>
                <w:rFonts w:ascii="Times New Roman" w:hAnsi="Times New Roman" w:eastAsia="宋体"/>
                <w:b w:val="0"/>
                <w:color w:val="000000"/>
                <w:sz w:val="19"/>
              </w:rPr>
              <w:t>面向基层巡查人员的人机协同隐患研判辅助工具</w:t>
            </w:r>
          </w:p>
        </w:tc>
      </w:tr>
      <w:tr>
        <w:tc>
          <w:tcPr>
            <w:tcW w:type="dxa" w:w="2381"/>
            <w:vAlign w:val="center"/>
          </w:tcPr>
          <w:p>
            <w:pPr>
              <w:spacing w:line="276" w:lineRule="auto" w:before="20" w:after="20"/>
              <w:jc w:val="center"/>
            </w:pPr>
            <w:r>
              <w:rPr>
                <w:rFonts w:ascii="Times New Roman" w:hAnsi="Times New Roman" w:eastAsia="宋体"/>
                <w:b w:val="0"/>
                <w:color w:val="000000"/>
                <w:sz w:val="19"/>
              </w:rPr>
              <w:t>参赛方向</w:t>
            </w:r>
          </w:p>
        </w:tc>
        <w:tc>
          <w:tcPr>
            <w:tcW w:type="dxa" w:w="6803"/>
            <w:vAlign w:val="center"/>
          </w:tcPr>
          <w:p>
            <w:pPr>
              <w:spacing w:line="276" w:lineRule="auto" w:before="20" w:after="20"/>
              <w:jc w:val="left"/>
            </w:pPr>
            <w:r>
              <w:rPr>
                <w:rFonts w:ascii="Times New Roman" w:hAnsi="Times New Roman" w:eastAsia="宋体"/>
                <w:b w:val="0"/>
                <w:color w:val="000000"/>
                <w:sz w:val="19"/>
              </w:rPr>
              <w:t>大学生大模型创新大赛应用创新方向</w:t>
            </w:r>
          </w:p>
        </w:tc>
      </w:tr>
      <w:tr>
        <w:tc>
          <w:tcPr>
            <w:tcW w:type="dxa" w:w="2381"/>
            <w:shd w:val="clear" w:color="auto" w:fill="F2F6FA"/>
            <w:vAlign w:val="center"/>
          </w:tcPr>
          <w:p>
            <w:pPr>
              <w:spacing w:line="276" w:lineRule="auto" w:before="20" w:after="20"/>
              <w:jc w:val="center"/>
            </w:pPr>
            <w:r>
              <w:rPr>
                <w:rFonts w:ascii="Times New Roman" w:hAnsi="Times New Roman" w:eastAsia="宋体"/>
                <w:b w:val="0"/>
                <w:color w:val="000000"/>
                <w:sz w:val="19"/>
              </w:rPr>
              <w:t>项目周期</w:t>
            </w:r>
          </w:p>
        </w:tc>
        <w:tc>
          <w:tcPr>
            <w:tcW w:type="dxa" w:w="6803"/>
            <w:shd w:val="clear" w:color="auto" w:fill="F2F6FA"/>
            <w:vAlign w:val="center"/>
          </w:tcPr>
          <w:p>
            <w:pPr>
              <w:spacing w:line="276" w:lineRule="auto" w:before="20" w:after="20"/>
              <w:jc w:val="left"/>
            </w:pPr>
            <w:r>
              <w:rPr>
                <w:rFonts w:ascii="Times New Roman" w:hAnsi="Times New Roman" w:eastAsia="宋体"/>
                <w:b w:val="0"/>
                <w:color w:val="000000"/>
                <w:sz w:val="19"/>
              </w:rPr>
              <w:t>8 周（2026 年 9 月至 11 月）</w:t>
            </w:r>
          </w:p>
        </w:tc>
      </w:tr>
      <w:tr>
        <w:tc>
          <w:tcPr>
            <w:tcW w:type="dxa" w:w="2381"/>
            <w:vAlign w:val="center"/>
          </w:tcPr>
          <w:p>
            <w:pPr>
              <w:spacing w:line="276" w:lineRule="auto" w:before="20" w:after="20"/>
              <w:jc w:val="center"/>
            </w:pPr>
            <w:r>
              <w:rPr>
                <w:rFonts w:ascii="Times New Roman" w:hAnsi="Times New Roman" w:eastAsia="宋体"/>
                <w:b w:val="0"/>
                <w:color w:val="000000"/>
                <w:sz w:val="19"/>
              </w:rPr>
              <w:t>团队规模</w:t>
            </w:r>
          </w:p>
        </w:tc>
        <w:tc>
          <w:tcPr>
            <w:tcW w:type="dxa" w:w="6803"/>
            <w:vAlign w:val="center"/>
          </w:tcPr>
          <w:p>
            <w:pPr>
              <w:spacing w:line="276" w:lineRule="auto" w:before="20" w:after="20"/>
              <w:jc w:val="left"/>
            </w:pPr>
            <w:r>
              <w:rPr>
                <w:rFonts w:ascii="Times New Roman" w:hAnsi="Times New Roman" w:eastAsia="宋体"/>
                <w:b w:val="0"/>
                <w:color w:val="000000"/>
                <w:sz w:val="19"/>
              </w:rPr>
              <w:t>3 至 5 人</w:t>
            </w:r>
          </w:p>
        </w:tc>
      </w:tr>
      <w:tr>
        <w:tc>
          <w:tcPr>
            <w:tcW w:type="dxa" w:w="2381"/>
            <w:shd w:val="clear" w:color="auto" w:fill="F2F6FA"/>
            <w:vAlign w:val="center"/>
          </w:tcPr>
          <w:p>
            <w:pPr>
              <w:spacing w:line="276" w:lineRule="auto" w:before="20" w:after="20"/>
              <w:jc w:val="center"/>
            </w:pPr>
            <w:r>
              <w:rPr>
                <w:rFonts w:ascii="Times New Roman" w:hAnsi="Times New Roman" w:eastAsia="宋体"/>
                <w:b w:val="0"/>
                <w:color w:val="000000"/>
                <w:sz w:val="19"/>
              </w:rPr>
              <w:t>建议预算</w:t>
            </w:r>
          </w:p>
        </w:tc>
        <w:tc>
          <w:tcPr>
            <w:tcW w:type="dxa" w:w="6803"/>
            <w:shd w:val="clear" w:color="auto" w:fill="F2F6FA"/>
            <w:vAlign w:val="center"/>
          </w:tcPr>
          <w:p>
            <w:pPr>
              <w:spacing w:line="276" w:lineRule="auto" w:before="20" w:after="20"/>
              <w:jc w:val="left"/>
            </w:pPr>
            <w:r>
              <w:rPr>
                <w:rFonts w:ascii="Times New Roman" w:hAnsi="Times New Roman" w:eastAsia="宋体"/>
                <w:b w:val="0"/>
                <w:color w:val="000000"/>
                <w:sz w:val="19"/>
              </w:rPr>
              <w:t>0 至 500 元</w:t>
            </w:r>
          </w:p>
        </w:tc>
      </w:tr>
      <w:tr>
        <w:tc>
          <w:tcPr>
            <w:tcW w:type="dxa" w:w="2381"/>
            <w:vAlign w:val="center"/>
          </w:tcPr>
          <w:p>
            <w:pPr>
              <w:spacing w:line="276" w:lineRule="auto" w:before="20" w:after="20"/>
              <w:jc w:val="center"/>
            </w:pPr>
            <w:r>
              <w:rPr>
                <w:rFonts w:ascii="Times New Roman" w:hAnsi="Times New Roman" w:eastAsia="宋体"/>
                <w:b w:val="0"/>
                <w:color w:val="000000"/>
                <w:sz w:val="19"/>
              </w:rPr>
              <w:t>核心交付物</w:t>
            </w:r>
          </w:p>
        </w:tc>
        <w:tc>
          <w:tcPr>
            <w:tcW w:type="dxa" w:w="6803"/>
            <w:vAlign w:val="center"/>
          </w:tcPr>
          <w:p>
            <w:pPr>
              <w:spacing w:line="276" w:lineRule="auto" w:before="20" w:after="20"/>
              <w:jc w:val="left"/>
            </w:pPr>
            <w:r>
              <w:rPr>
                <w:rFonts w:ascii="Times New Roman" w:hAnsi="Times New Roman" w:eastAsia="宋体"/>
                <w:b w:val="0"/>
                <w:color w:val="000000"/>
                <w:sz w:val="19"/>
              </w:rPr>
              <w:t>可运行 Web Demo、评测集与评测报告、演示视频、PPT、源代码仓库</w:t>
            </w:r>
          </w:p>
        </w:tc>
      </w:tr>
    </w:tbl>
    <w:p>
      <w:r>
        <w:br w:type="page"/>
      </w:r>
    </w:p>
    <w:p>
      <w:pPr>
        <w:spacing w:line="324" w:lineRule="auto" w:after="100"/>
        <w:jc w:val="both"/>
      </w:pPr>
      <w:r>
        <w:rPr>
          <w:rFonts w:ascii="Times New Roman" w:hAnsi="Times New Roman" w:eastAsia="宋体"/>
          <w:b w:val="0"/>
          <w:color w:val="000000"/>
          <w:sz w:val="22"/>
        </w:rPr>
        <w:t>编写说明：本计划书面向参赛团队、指导老师和评审专家，说明项目要解决的问题、功能范围、技术选型、系统架构、知识库建设、评测方法、实施计划、成本与风险，并作为后续开发的统一技术约定。方案以学生团队在 8 周内可实际完成为目标，优先保证可演示、可评测、可复现。</w:t>
      </w:r>
    </w:p>
    <w:p>
      <w:pPr>
        <w:pStyle w:val="Heading1"/>
        <w:keepNext/>
        <w:spacing w:before="280" w:after="120" w:line="288" w:lineRule="auto"/>
      </w:pPr>
      <w:r>
        <w:rPr>
          <w:rFonts w:ascii="Microsoft YaHei" w:hAnsi="Microsoft YaHei" w:eastAsia="微软雅黑"/>
          <w:b/>
          <w:color w:val="000000"/>
          <w:sz w:val="30"/>
        </w:rPr>
        <w:t>一、项目概述</w:t>
      </w:r>
    </w:p>
    <w:p>
      <w:pPr>
        <w:pStyle w:val="Heading2"/>
        <w:keepNext/>
        <w:spacing w:before="200" w:after="80" w:line="288" w:lineRule="auto"/>
      </w:pPr>
      <w:r>
        <w:rPr>
          <w:rFonts w:ascii="Microsoft YaHei" w:hAnsi="Microsoft YaHei" w:eastAsia="微软雅黑"/>
          <w:b/>
          <w:color w:val="000000"/>
          <w:sz w:val="25"/>
        </w:rPr>
        <w:t>1.1 项目背景与问题</w:t>
      </w:r>
    </w:p>
    <w:p>
      <w:pPr>
        <w:spacing w:line="324" w:lineRule="auto" w:after="100"/>
        <w:jc w:val="both"/>
      </w:pPr>
      <w:r>
        <w:rPr>
          <w:rFonts w:ascii="Times New Roman" w:hAnsi="Times New Roman" w:eastAsia="宋体"/>
          <w:b w:val="0"/>
          <w:color w:val="000000"/>
          <w:sz w:val="22"/>
        </w:rPr>
        <w:t>基层安全隐患排查由社区网格员、厂区安全员、林区巡查员等一线人员承担，普遍存在专业知识不足、规范记忆不全、现场处置无依据、上报材料繁琐等问题。消防安全、生产安全、社区治理、森林防火等领域的排查标准和处置流程分散在大量法规与标准文件中，一线人员很难在现场快速形成规范结论。</w:t>
      </w:r>
    </w:p>
    <w:p>
      <w:pPr>
        <w:spacing w:line="324" w:lineRule="auto" w:after="100"/>
        <w:jc w:val="both"/>
      </w:pPr>
      <w:r>
        <w:rPr>
          <w:rFonts w:ascii="Times New Roman" w:hAnsi="Times New Roman" w:eastAsia="宋体"/>
          <w:b w:val="0"/>
          <w:color w:val="000000"/>
          <w:sz w:val="22"/>
        </w:rPr>
        <w:t>典型问题包括：</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现场难以快速判断风险等级，处置依赖个人经验。</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不清楚对应法律法规、判定标准和整改要求。</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无法快速生成规范的整改建议与处置方案。</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乡镇和林区普遍缺少现场专家支撑。</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事后编写台账、工单、简报耗时长，格式不统一。</w:t>
      </w:r>
    </w:p>
    <w:p>
      <w:pPr>
        <w:pStyle w:val="Heading2"/>
        <w:keepNext/>
        <w:spacing w:before="200" w:after="80" w:line="288" w:lineRule="auto"/>
      </w:pPr>
      <w:r>
        <w:rPr>
          <w:rFonts w:ascii="Microsoft YaHei" w:hAnsi="Microsoft YaHei" w:eastAsia="微软雅黑"/>
          <w:b/>
          <w:color w:val="000000"/>
          <w:sz w:val="25"/>
        </w:rPr>
        <w:t>1.2 项目定位</w:t>
      </w:r>
    </w:p>
    <w:p>
      <w:pPr>
        <w:spacing w:line="324" w:lineRule="auto" w:after="100"/>
        <w:jc w:val="both"/>
      </w:pPr>
      <w:r>
        <w:rPr>
          <w:rFonts w:ascii="Times New Roman" w:hAnsi="Times New Roman" w:eastAsia="宋体"/>
          <w:b w:val="0"/>
          <w:color w:val="000000"/>
          <w:sz w:val="22"/>
        </w:rPr>
        <w:t>本项目构建“拍照输入、智能研判、自动成文、证据溯源、人机复核”的基层安全隐患研判辅助系统。系统定位为人机协同辅助工具，不替代人工判断，最终结论由巡查人员和责任单位确认。</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双模态输入：现场照片加文字描述组合研判，降低单纯视觉识别的误判风险。</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知识库支撑：结论基于公开法规和标准片段，逐条展示来源与原文。</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Agent 闭环：解析、追问、检索、研判、生成、复核串联为可解释流程。</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低门槛低成本：浏览器即可使用，无需专用硬件，模型调用以免费额度和低单价 API 为主。</w:t>
      </w:r>
    </w:p>
    <w:p>
      <w:pPr>
        <w:pStyle w:val="Heading2"/>
        <w:keepNext/>
        <w:spacing w:before="200" w:after="80" w:line="288" w:lineRule="auto"/>
      </w:pPr>
      <w:r>
        <w:rPr>
          <w:rFonts w:ascii="Microsoft YaHei" w:hAnsi="Microsoft YaHei" w:eastAsia="微软雅黑"/>
          <w:b/>
          <w:color w:val="000000"/>
          <w:sz w:val="25"/>
        </w:rPr>
        <w:t>1.3 项目原则</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MVP 优先：先打通消防与社区两类高频场景，再扩展生产安全和林区场景。</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可评测：建立小型脱敏测试集与量化指标，每周回归，防止效果回退。</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可复现：代码、知识库构建脚本、评测集和文档统一存放在项目仓库。</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可演示：保留中间结果与证据链，评审可以点开查看研判依据。</w:t>
      </w:r>
    </w:p>
    <w:p>
      <w:pPr>
        <w:pStyle w:val="Heading1"/>
        <w:keepNext/>
        <w:spacing w:before="280" w:after="120" w:line="288" w:lineRule="auto"/>
      </w:pPr>
      <w:r>
        <w:rPr>
          <w:rFonts w:ascii="Microsoft YaHei" w:hAnsi="Microsoft YaHei" w:eastAsia="微软雅黑"/>
          <w:b/>
          <w:color w:val="000000"/>
          <w:sz w:val="30"/>
        </w:rPr>
        <w:t>二、竞赛目标与成果范围</w:t>
      </w:r>
    </w:p>
    <w:p>
      <w:pPr>
        <w:pStyle w:val="Heading2"/>
        <w:keepNext/>
        <w:spacing w:before="200" w:after="80" w:line="288" w:lineRule="auto"/>
      </w:pPr>
      <w:r>
        <w:rPr>
          <w:rFonts w:ascii="Microsoft YaHei" w:hAnsi="Microsoft YaHei" w:eastAsia="微软雅黑"/>
          <w:b/>
          <w:color w:val="000000"/>
          <w:sz w:val="25"/>
        </w:rPr>
        <w:t>2.1 参赛目标</w:t>
      </w:r>
    </w:p>
    <w:p>
      <w:pPr>
        <w:spacing w:line="324" w:lineRule="auto" w:after="100"/>
        <w:jc w:val="both"/>
      </w:pPr>
      <w:r>
        <w:rPr>
          <w:rFonts w:ascii="Times New Roman" w:hAnsi="Times New Roman" w:eastAsia="宋体"/>
          <w:b w:val="0"/>
          <w:color w:val="000000"/>
          <w:sz w:val="22"/>
        </w:rPr>
        <w:t>在比赛周期内交付一个可以现场演示、可以量化评测、可以持续迭代的 MVP 系统，并用完整证据链和评测数据支撑答辩。</w:t>
      </w:r>
    </w:p>
    <w:p>
      <w:pPr>
        <w:spacing w:line="324" w:lineRule="auto" w:after="100"/>
        <w:jc w:val="both"/>
      </w:pPr>
      <w:r>
        <w:rPr>
          <w:rFonts w:ascii="Times New Roman" w:hAnsi="Times New Roman" w:eastAsia="宋体"/>
          <w:b w:val="0"/>
          <w:color w:val="000000"/>
          <w:sz w:val="22"/>
        </w:rPr>
        <w:t>交付成果：</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可运行的前后端系统，支持一次完整的多模态隐患研判。</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30 至 50 条脱敏评测案例与评测报告。</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3 至 5 分钟演示视频。</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项目计划书、PPT、源代码仓库和部署说明。</w:t>
      </w:r>
    </w:p>
    <w:p>
      <w:pPr>
        <w:pStyle w:val="Heading2"/>
        <w:keepNext/>
        <w:spacing w:before="200" w:after="80" w:line="288" w:lineRule="auto"/>
      </w:pPr>
      <w:r>
        <w:rPr>
          <w:rFonts w:ascii="Microsoft YaHei" w:hAnsi="Microsoft YaHei" w:eastAsia="微软雅黑"/>
          <w:b/>
          <w:color w:val="000000"/>
          <w:sz w:val="25"/>
        </w:rPr>
        <w:t>2.2 MVP 范围</w:t>
      </w:r>
    </w:p>
    <w:p>
      <w:pPr>
        <w:spacing w:line="324" w:lineRule="auto" w:after="100"/>
        <w:jc w:val="both"/>
      </w:pPr>
      <w:r>
        <w:rPr>
          <w:rFonts w:ascii="Times New Roman" w:hAnsi="Times New Roman" w:eastAsia="宋体"/>
          <w:b w:val="0"/>
          <w:color w:val="000000"/>
          <w:sz w:val="22"/>
        </w:rPr>
        <w:t>MVP 阶段纳入以下能力：</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照片加文字双模态输入，支持多图。</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多模态解析、信息不足时追问。</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法规知识库检索与条款溯源。</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风险分级、处置方案、工单、台账、简报生成。</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历史记录、导出、管理员知识库管理。</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置信度分级与人工确认。</w:t>
      </w:r>
    </w:p>
    <w:p>
      <w:pPr>
        <w:spacing w:line="324" w:lineRule="auto" w:after="100"/>
        <w:jc w:val="both"/>
      </w:pPr>
      <w:r>
        <w:rPr>
          <w:rFonts w:ascii="Times New Roman" w:hAnsi="Times New Roman" w:eastAsia="宋体"/>
          <w:b w:val="0"/>
          <w:color w:val="000000"/>
          <w:sz w:val="22"/>
        </w:rPr>
        <w:t>MVP 不纳入以下能力，作为后续迭代方向：</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移动端 App 或小程序。</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整改照片回传与前后对比。</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隐患地图、风险画像与趋势分析。</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政务系统对接、内网部署与等保。</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端侧离线大模型。</w:t>
      </w:r>
    </w:p>
    <w:p>
      <w:pPr>
        <w:pStyle w:val="Heading1"/>
        <w:keepNext/>
        <w:spacing w:before="280" w:after="120" w:line="288" w:lineRule="auto"/>
      </w:pPr>
      <w:r>
        <w:rPr>
          <w:rFonts w:ascii="Microsoft YaHei" w:hAnsi="Microsoft YaHei" w:eastAsia="微软雅黑"/>
          <w:b/>
          <w:color w:val="000000"/>
          <w:sz w:val="30"/>
        </w:rPr>
        <w:t>三、用户流程与功能设计</w:t>
      </w:r>
    </w:p>
    <w:p>
      <w:pPr>
        <w:pStyle w:val="Heading2"/>
        <w:keepNext/>
        <w:spacing w:before="200" w:after="80" w:line="288" w:lineRule="auto"/>
      </w:pPr>
      <w:r>
        <w:rPr>
          <w:rFonts w:ascii="Microsoft YaHei" w:hAnsi="Microsoft YaHei" w:eastAsia="微软雅黑"/>
          <w:b/>
          <w:color w:val="000000"/>
          <w:sz w:val="25"/>
        </w:rPr>
        <w:t>3.1 一次完整研判流程</w:t>
      </w:r>
    </w:p>
    <w:p>
      <w:pPr>
        <w:spacing w:line="324" w:lineRule="auto" w:after="60"/>
        <w:ind w:left="397" w:hanging="283"/>
      </w:pPr>
      <w:r>
        <w:rPr>
          <w:rFonts w:ascii="Times New Roman" w:hAnsi="Times New Roman" w:eastAsia="宋体"/>
          <w:b w:val="0"/>
          <w:color w:val="000000"/>
          <w:sz w:val="22"/>
        </w:rPr>
        <w:t xml:space="preserve">1.  </w:t>
      </w:r>
      <w:r>
        <w:rPr>
          <w:rFonts w:ascii="Times New Roman" w:hAnsi="Times New Roman" w:eastAsia="宋体"/>
          <w:b w:val="0"/>
          <w:color w:val="000000"/>
          <w:sz w:val="22"/>
        </w:rPr>
        <w:t>巡查员上传 1 至 3 张现场照片，并填写位置、现象、环境等文字描述。</w:t>
      </w:r>
    </w:p>
    <w:p>
      <w:pPr>
        <w:spacing w:line="324" w:lineRule="auto" w:after="60"/>
        <w:ind w:left="397" w:hanging="283"/>
      </w:pPr>
      <w:r>
        <w:rPr>
          <w:rFonts w:ascii="Times New Roman" w:hAnsi="Times New Roman" w:eastAsia="宋体"/>
          <w:b w:val="0"/>
          <w:color w:val="000000"/>
          <w:sz w:val="22"/>
        </w:rPr>
        <w:t xml:space="preserve">2.  </w:t>
      </w:r>
      <w:r>
        <w:rPr>
          <w:rFonts w:ascii="Times New Roman" w:hAnsi="Times New Roman" w:eastAsia="宋体"/>
          <w:b w:val="0"/>
          <w:color w:val="000000"/>
          <w:sz w:val="22"/>
        </w:rPr>
        <w:t>系统调用多模态模型解析照片，得到结构化隐患描述。</w:t>
      </w:r>
    </w:p>
    <w:p>
      <w:pPr>
        <w:spacing w:line="324" w:lineRule="auto" w:after="60"/>
        <w:ind w:left="397" w:hanging="283"/>
      </w:pPr>
      <w:r>
        <w:rPr>
          <w:rFonts w:ascii="Times New Roman" w:hAnsi="Times New Roman" w:eastAsia="宋体"/>
          <w:b w:val="0"/>
          <w:color w:val="000000"/>
          <w:sz w:val="22"/>
        </w:rPr>
        <w:t xml:space="preserve">3.  </w:t>
      </w:r>
      <w:r>
        <w:rPr>
          <w:rFonts w:ascii="Times New Roman" w:hAnsi="Times New Roman" w:eastAsia="宋体"/>
          <w:b w:val="0"/>
          <w:color w:val="000000"/>
          <w:sz w:val="22"/>
        </w:rPr>
        <w:t>信息不充分时，Agent 主动追问，最多两轮，例如破损程度、所处楼层、是否影响疏散通道。</w:t>
      </w:r>
    </w:p>
    <w:p>
      <w:pPr>
        <w:spacing w:line="324" w:lineRule="auto" w:after="60"/>
        <w:ind w:left="397" w:hanging="283"/>
      </w:pPr>
      <w:r>
        <w:rPr>
          <w:rFonts w:ascii="Times New Roman" w:hAnsi="Times New Roman" w:eastAsia="宋体"/>
          <w:b w:val="0"/>
          <w:color w:val="000000"/>
          <w:sz w:val="22"/>
        </w:rPr>
        <w:t xml:space="preserve">4.  </w:t>
      </w:r>
      <w:r>
        <w:rPr>
          <w:rFonts w:ascii="Times New Roman" w:hAnsi="Times New Roman" w:eastAsia="宋体"/>
          <w:b w:val="0"/>
          <w:color w:val="000000"/>
          <w:sz w:val="22"/>
        </w:rPr>
        <w:t>RAG 检索相关法规和标准，返回条款原文与来源。</w:t>
      </w:r>
    </w:p>
    <w:p>
      <w:pPr>
        <w:spacing w:line="324" w:lineRule="auto" w:after="60"/>
        <w:ind w:left="397" w:hanging="283"/>
      </w:pPr>
      <w:r>
        <w:rPr>
          <w:rFonts w:ascii="Times New Roman" w:hAnsi="Times New Roman" w:eastAsia="宋体"/>
          <w:b w:val="0"/>
          <w:color w:val="000000"/>
          <w:sz w:val="22"/>
        </w:rPr>
        <w:t xml:space="preserve">5.  </w:t>
      </w:r>
      <w:r>
        <w:rPr>
          <w:rFonts w:ascii="Times New Roman" w:hAnsi="Times New Roman" w:eastAsia="宋体"/>
          <w:b w:val="0"/>
          <w:color w:val="000000"/>
          <w:sz w:val="22"/>
        </w:rPr>
        <w:t>规则引擎加 LLM 完成风险分级，输出隐患类别、等级、依据和置信度。</w:t>
      </w:r>
    </w:p>
    <w:p>
      <w:pPr>
        <w:spacing w:line="324" w:lineRule="auto" w:after="60"/>
        <w:ind w:left="397" w:hanging="283"/>
      </w:pPr>
      <w:r>
        <w:rPr>
          <w:rFonts w:ascii="Times New Roman" w:hAnsi="Times New Roman" w:eastAsia="宋体"/>
          <w:b w:val="0"/>
          <w:color w:val="000000"/>
          <w:sz w:val="22"/>
        </w:rPr>
        <w:t xml:space="preserve">6.  </w:t>
      </w:r>
      <w:r>
        <w:rPr>
          <w:rFonts w:ascii="Times New Roman" w:hAnsi="Times New Roman" w:eastAsia="宋体"/>
          <w:b w:val="0"/>
          <w:color w:val="000000"/>
          <w:sz w:val="22"/>
        </w:rPr>
        <w:t>证据检查通过后生成处置建议、整改工单、巡查台账和上报简报。</w:t>
      </w:r>
    </w:p>
    <w:p>
      <w:pPr>
        <w:spacing w:line="324" w:lineRule="auto" w:after="60"/>
        <w:ind w:left="397" w:hanging="283"/>
      </w:pPr>
      <w:r>
        <w:rPr>
          <w:rFonts w:ascii="Times New Roman" w:hAnsi="Times New Roman" w:eastAsia="宋体"/>
          <w:b w:val="0"/>
          <w:color w:val="000000"/>
          <w:sz w:val="22"/>
        </w:rPr>
        <w:t xml:space="preserve">7.  </w:t>
      </w:r>
      <w:r>
        <w:rPr>
          <w:rFonts w:ascii="Times New Roman" w:hAnsi="Times New Roman" w:eastAsia="宋体"/>
          <w:b w:val="0"/>
          <w:color w:val="000000"/>
          <w:sz w:val="22"/>
        </w:rPr>
        <w:t>巡查员确认或修改结果，系统定稿并保存历史记录。</w:t>
      </w:r>
    </w:p>
    <w:p>
      <w:pPr>
        <w:pStyle w:val="Heading2"/>
        <w:keepNext/>
        <w:spacing w:before="200" w:after="80" w:line="288" w:lineRule="auto"/>
      </w:pPr>
      <w:r>
        <w:rPr>
          <w:rFonts w:ascii="Microsoft YaHei" w:hAnsi="Microsoft YaHei" w:eastAsia="微软雅黑"/>
          <w:b/>
          <w:color w:val="000000"/>
          <w:sz w:val="25"/>
        </w:rPr>
        <w:t>3.2 功能清单</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ayout w:type="fixed"/>
      </w:tblPr>
      <w:tblGrid>
        <w:gridCol w:w="3061"/>
        <w:gridCol w:w="3061"/>
        <w:gridCol w:w="3061"/>
      </w:tblGrid>
      <w:tr>
        <w:trPr>
          <w:tblHeader w:val="true"/>
        </w:trPr>
        <w:tc>
          <w:tcPr>
            <w:tcW w:type="dxa" w:w="3294"/>
            <w:shd w:val="clear" w:color="auto" w:fill="1F4E79"/>
            <w:vAlign w:val="center"/>
          </w:tcPr>
          <w:p>
            <w:pPr>
              <w:spacing w:line="276" w:lineRule="auto" w:before="20" w:after="20"/>
              <w:jc w:val="center"/>
            </w:pPr>
            <w:r>
              <w:rPr>
                <w:rFonts w:ascii="Times New Roman" w:hAnsi="Times New Roman" w:eastAsia="宋体"/>
                <w:b/>
                <w:color w:val="FFFFFF"/>
                <w:sz w:val="19"/>
              </w:rPr>
              <w:t>功能模块</w:t>
            </w:r>
          </w:p>
        </w:tc>
        <w:tc>
          <w:tcPr>
            <w:tcW w:type="dxa" w:w="4394"/>
            <w:shd w:val="clear" w:color="auto" w:fill="1F4E79"/>
            <w:vAlign w:val="center"/>
          </w:tcPr>
          <w:p>
            <w:pPr>
              <w:spacing w:line="276" w:lineRule="auto" w:before="20" w:after="20"/>
              <w:jc w:val="center"/>
            </w:pPr>
            <w:r>
              <w:rPr>
                <w:rFonts w:ascii="Times New Roman" w:hAnsi="Times New Roman" w:eastAsia="宋体"/>
                <w:b/>
                <w:color w:val="FFFFFF"/>
                <w:sz w:val="19"/>
              </w:rPr>
              <w:t>说明</w:t>
            </w:r>
          </w:p>
        </w:tc>
        <w:tc>
          <w:tcPr>
            <w:tcW w:type="dxa" w:w="1497"/>
            <w:shd w:val="clear" w:color="auto" w:fill="1F4E79"/>
            <w:vAlign w:val="center"/>
          </w:tcPr>
          <w:p>
            <w:pPr>
              <w:spacing w:line="276" w:lineRule="auto" w:before="20" w:after="20"/>
              <w:jc w:val="center"/>
            </w:pPr>
            <w:r>
              <w:rPr>
                <w:rFonts w:ascii="Times New Roman" w:hAnsi="Times New Roman" w:eastAsia="宋体"/>
                <w:b/>
                <w:color w:val="FFFFFF"/>
                <w:sz w:val="19"/>
              </w:rPr>
              <w:t>优先级</w:t>
            </w:r>
          </w:p>
        </w:tc>
      </w:tr>
      <w:tr>
        <w:tc>
          <w:tcPr>
            <w:tcW w:type="dxa" w:w="3294"/>
            <w:vAlign w:val="center"/>
          </w:tcPr>
          <w:p>
            <w:pPr>
              <w:spacing w:line="276" w:lineRule="auto" w:before="20" w:after="20"/>
              <w:jc w:val="center"/>
            </w:pPr>
            <w:r>
              <w:rPr>
                <w:rFonts w:ascii="Times New Roman" w:hAnsi="Times New Roman" w:eastAsia="宋体"/>
                <w:b w:val="0"/>
                <w:color w:val="000000"/>
                <w:sz w:val="19"/>
              </w:rPr>
              <w:t>多模态输入与解析</w:t>
            </w:r>
          </w:p>
        </w:tc>
        <w:tc>
          <w:tcPr>
            <w:tcW w:type="dxa" w:w="4394"/>
            <w:vAlign w:val="center"/>
          </w:tcPr>
          <w:p>
            <w:pPr>
              <w:spacing w:line="276" w:lineRule="auto" w:before="20" w:after="20"/>
              <w:jc w:val="left"/>
            </w:pPr>
            <w:r>
              <w:rPr>
                <w:rFonts w:ascii="Times New Roman" w:hAnsi="Times New Roman" w:eastAsia="宋体"/>
                <w:b w:val="0"/>
                <w:color w:val="000000"/>
                <w:sz w:val="19"/>
              </w:rPr>
              <w:t>照片加文字输入，输出结构化描述</w:t>
            </w:r>
          </w:p>
        </w:tc>
        <w:tc>
          <w:tcPr>
            <w:tcW w:type="dxa" w:w="1497"/>
            <w:vAlign w:val="center"/>
          </w:tcPr>
          <w:p>
            <w:pPr>
              <w:spacing w:line="276" w:lineRule="auto" w:before="20" w:after="20"/>
              <w:jc w:val="center"/>
            </w:pPr>
            <w:r>
              <w:rPr>
                <w:rFonts w:ascii="Times New Roman" w:hAnsi="Times New Roman" w:eastAsia="宋体"/>
                <w:b w:val="0"/>
                <w:color w:val="000000"/>
                <w:sz w:val="19"/>
              </w:rPr>
              <w:t>P0</w:t>
            </w:r>
          </w:p>
        </w:tc>
      </w:tr>
      <w:tr>
        <w:tc>
          <w:tcPr>
            <w:tcW w:type="dxa" w:w="3294"/>
            <w:shd w:val="clear" w:color="auto" w:fill="F2F6FA"/>
            <w:vAlign w:val="center"/>
          </w:tcPr>
          <w:p>
            <w:pPr>
              <w:spacing w:line="276" w:lineRule="auto" w:before="20" w:after="20"/>
              <w:jc w:val="center"/>
            </w:pPr>
            <w:r>
              <w:rPr>
                <w:rFonts w:ascii="Times New Roman" w:hAnsi="Times New Roman" w:eastAsia="宋体"/>
                <w:b w:val="0"/>
                <w:color w:val="000000"/>
                <w:sz w:val="19"/>
              </w:rPr>
              <w:t>知识库检索与溯源</w:t>
            </w:r>
          </w:p>
        </w:tc>
        <w:tc>
          <w:tcPr>
            <w:tcW w:type="dxa" w:w="4394"/>
            <w:shd w:val="clear" w:color="auto" w:fill="F2F6FA"/>
            <w:vAlign w:val="center"/>
          </w:tcPr>
          <w:p>
            <w:pPr>
              <w:spacing w:line="276" w:lineRule="auto" w:before="20" w:after="20"/>
              <w:jc w:val="left"/>
            </w:pPr>
            <w:r>
              <w:rPr>
                <w:rFonts w:ascii="Times New Roman" w:hAnsi="Times New Roman" w:eastAsia="宋体"/>
                <w:b w:val="0"/>
                <w:color w:val="000000"/>
                <w:sz w:val="19"/>
              </w:rPr>
              <w:t>条款检索、原文展示、来源标注</w:t>
            </w:r>
          </w:p>
        </w:tc>
        <w:tc>
          <w:tcPr>
            <w:tcW w:type="dxa" w:w="1497"/>
            <w:shd w:val="clear" w:color="auto" w:fill="F2F6FA"/>
            <w:vAlign w:val="center"/>
          </w:tcPr>
          <w:p>
            <w:pPr>
              <w:spacing w:line="276" w:lineRule="auto" w:before="20" w:after="20"/>
              <w:jc w:val="center"/>
            </w:pPr>
            <w:r>
              <w:rPr>
                <w:rFonts w:ascii="Times New Roman" w:hAnsi="Times New Roman" w:eastAsia="宋体"/>
                <w:b w:val="0"/>
                <w:color w:val="000000"/>
                <w:sz w:val="19"/>
              </w:rPr>
              <w:t>P0</w:t>
            </w:r>
          </w:p>
        </w:tc>
      </w:tr>
      <w:tr>
        <w:tc>
          <w:tcPr>
            <w:tcW w:type="dxa" w:w="3294"/>
            <w:vAlign w:val="center"/>
          </w:tcPr>
          <w:p>
            <w:pPr>
              <w:spacing w:line="276" w:lineRule="auto" w:before="20" w:after="20"/>
              <w:jc w:val="center"/>
            </w:pPr>
            <w:r>
              <w:rPr>
                <w:rFonts w:ascii="Times New Roman" w:hAnsi="Times New Roman" w:eastAsia="宋体"/>
                <w:b w:val="0"/>
                <w:color w:val="000000"/>
                <w:sz w:val="19"/>
              </w:rPr>
              <w:t>风险分级与规则引擎</w:t>
            </w:r>
          </w:p>
        </w:tc>
        <w:tc>
          <w:tcPr>
            <w:tcW w:type="dxa" w:w="4394"/>
            <w:vAlign w:val="center"/>
          </w:tcPr>
          <w:p>
            <w:pPr>
              <w:spacing w:line="276" w:lineRule="auto" w:before="20" w:after="20"/>
              <w:jc w:val="left"/>
            </w:pPr>
            <w:r>
              <w:rPr>
                <w:rFonts w:ascii="Times New Roman" w:hAnsi="Times New Roman" w:eastAsia="宋体"/>
                <w:b w:val="0"/>
                <w:color w:val="000000"/>
                <w:sz w:val="19"/>
              </w:rPr>
              <w:t>规则加模型双通道分级</w:t>
            </w:r>
          </w:p>
        </w:tc>
        <w:tc>
          <w:tcPr>
            <w:tcW w:type="dxa" w:w="1497"/>
            <w:vAlign w:val="center"/>
          </w:tcPr>
          <w:p>
            <w:pPr>
              <w:spacing w:line="276" w:lineRule="auto" w:before="20" w:after="20"/>
              <w:jc w:val="center"/>
            </w:pPr>
            <w:r>
              <w:rPr>
                <w:rFonts w:ascii="Times New Roman" w:hAnsi="Times New Roman" w:eastAsia="宋体"/>
                <w:b w:val="0"/>
                <w:color w:val="000000"/>
                <w:sz w:val="19"/>
              </w:rPr>
              <w:t>P0</w:t>
            </w:r>
          </w:p>
        </w:tc>
      </w:tr>
      <w:tr>
        <w:tc>
          <w:tcPr>
            <w:tcW w:type="dxa" w:w="3294"/>
            <w:shd w:val="clear" w:color="auto" w:fill="F2F6FA"/>
            <w:vAlign w:val="center"/>
          </w:tcPr>
          <w:p>
            <w:pPr>
              <w:spacing w:line="276" w:lineRule="auto" w:before="20" w:after="20"/>
              <w:jc w:val="center"/>
            </w:pPr>
            <w:r>
              <w:rPr>
                <w:rFonts w:ascii="Times New Roman" w:hAnsi="Times New Roman" w:eastAsia="宋体"/>
                <w:b w:val="0"/>
                <w:color w:val="000000"/>
                <w:sz w:val="19"/>
              </w:rPr>
              <w:t>处置方案生成</w:t>
            </w:r>
          </w:p>
        </w:tc>
        <w:tc>
          <w:tcPr>
            <w:tcW w:type="dxa" w:w="4394"/>
            <w:shd w:val="clear" w:color="auto" w:fill="F2F6FA"/>
            <w:vAlign w:val="center"/>
          </w:tcPr>
          <w:p>
            <w:pPr>
              <w:spacing w:line="276" w:lineRule="auto" w:before="20" w:after="20"/>
              <w:jc w:val="left"/>
            </w:pPr>
            <w:r>
              <w:rPr>
                <w:rFonts w:ascii="Times New Roman" w:hAnsi="Times New Roman" w:eastAsia="宋体"/>
                <w:b w:val="0"/>
                <w:color w:val="000000"/>
                <w:sz w:val="19"/>
              </w:rPr>
              <w:t>现场处置与整改建议</w:t>
            </w:r>
          </w:p>
        </w:tc>
        <w:tc>
          <w:tcPr>
            <w:tcW w:type="dxa" w:w="1497"/>
            <w:shd w:val="clear" w:color="auto" w:fill="F2F6FA"/>
            <w:vAlign w:val="center"/>
          </w:tcPr>
          <w:p>
            <w:pPr>
              <w:spacing w:line="276" w:lineRule="auto" w:before="20" w:after="20"/>
              <w:jc w:val="center"/>
            </w:pPr>
            <w:r>
              <w:rPr>
                <w:rFonts w:ascii="Times New Roman" w:hAnsi="Times New Roman" w:eastAsia="宋体"/>
                <w:b w:val="0"/>
                <w:color w:val="000000"/>
                <w:sz w:val="19"/>
              </w:rPr>
              <w:t>P0</w:t>
            </w:r>
          </w:p>
        </w:tc>
      </w:tr>
      <w:tr>
        <w:tc>
          <w:tcPr>
            <w:tcW w:type="dxa" w:w="3294"/>
            <w:vAlign w:val="center"/>
          </w:tcPr>
          <w:p>
            <w:pPr>
              <w:spacing w:line="276" w:lineRule="auto" w:before="20" w:after="20"/>
              <w:jc w:val="center"/>
            </w:pPr>
            <w:r>
              <w:rPr>
                <w:rFonts w:ascii="Times New Roman" w:hAnsi="Times New Roman" w:eastAsia="宋体"/>
                <w:b w:val="0"/>
                <w:color w:val="000000"/>
                <w:sz w:val="19"/>
              </w:rPr>
              <w:t>工单台账简报生成</w:t>
            </w:r>
          </w:p>
        </w:tc>
        <w:tc>
          <w:tcPr>
            <w:tcW w:type="dxa" w:w="4394"/>
            <w:vAlign w:val="center"/>
          </w:tcPr>
          <w:p>
            <w:pPr>
              <w:spacing w:line="276" w:lineRule="auto" w:before="20" w:after="20"/>
              <w:jc w:val="left"/>
            </w:pPr>
            <w:r>
              <w:rPr>
                <w:rFonts w:ascii="Times New Roman" w:hAnsi="Times New Roman" w:eastAsia="宋体"/>
                <w:b w:val="0"/>
                <w:color w:val="000000"/>
                <w:sz w:val="19"/>
              </w:rPr>
              <w:t>可复制、可导出的标准文书</w:t>
            </w:r>
          </w:p>
        </w:tc>
        <w:tc>
          <w:tcPr>
            <w:tcW w:type="dxa" w:w="1497"/>
            <w:vAlign w:val="center"/>
          </w:tcPr>
          <w:p>
            <w:pPr>
              <w:spacing w:line="276" w:lineRule="auto" w:before="20" w:after="20"/>
              <w:jc w:val="center"/>
            </w:pPr>
            <w:r>
              <w:rPr>
                <w:rFonts w:ascii="Times New Roman" w:hAnsi="Times New Roman" w:eastAsia="宋体"/>
                <w:b w:val="0"/>
                <w:color w:val="000000"/>
                <w:sz w:val="19"/>
              </w:rPr>
              <w:t>P0</w:t>
            </w:r>
          </w:p>
        </w:tc>
      </w:tr>
      <w:tr>
        <w:tc>
          <w:tcPr>
            <w:tcW w:type="dxa" w:w="3294"/>
            <w:shd w:val="clear" w:color="auto" w:fill="F2F6FA"/>
            <w:vAlign w:val="center"/>
          </w:tcPr>
          <w:p>
            <w:pPr>
              <w:spacing w:line="276" w:lineRule="auto" w:before="20" w:after="20"/>
              <w:jc w:val="center"/>
            </w:pPr>
            <w:r>
              <w:rPr>
                <w:rFonts w:ascii="Times New Roman" w:hAnsi="Times New Roman" w:eastAsia="宋体"/>
                <w:b w:val="0"/>
                <w:color w:val="000000"/>
                <w:sz w:val="19"/>
              </w:rPr>
              <w:t>历史记录与导出</w:t>
            </w:r>
          </w:p>
        </w:tc>
        <w:tc>
          <w:tcPr>
            <w:tcW w:type="dxa" w:w="4394"/>
            <w:shd w:val="clear" w:color="auto" w:fill="F2F6FA"/>
            <w:vAlign w:val="center"/>
          </w:tcPr>
          <w:p>
            <w:pPr>
              <w:spacing w:line="276" w:lineRule="auto" w:before="20" w:after="20"/>
              <w:jc w:val="left"/>
            </w:pPr>
            <w:r>
              <w:rPr>
                <w:rFonts w:ascii="Times New Roman" w:hAnsi="Times New Roman" w:eastAsia="宋体"/>
                <w:b w:val="0"/>
                <w:color w:val="000000"/>
                <w:sz w:val="19"/>
              </w:rPr>
              <w:t>研判记录查询、批量导出</w:t>
            </w:r>
          </w:p>
        </w:tc>
        <w:tc>
          <w:tcPr>
            <w:tcW w:type="dxa" w:w="1497"/>
            <w:shd w:val="clear" w:color="auto" w:fill="F2F6FA"/>
            <w:vAlign w:val="center"/>
          </w:tcPr>
          <w:p>
            <w:pPr>
              <w:spacing w:line="276" w:lineRule="auto" w:before="20" w:after="20"/>
              <w:jc w:val="center"/>
            </w:pPr>
            <w:r>
              <w:rPr>
                <w:rFonts w:ascii="Times New Roman" w:hAnsi="Times New Roman" w:eastAsia="宋体"/>
                <w:b w:val="0"/>
                <w:color w:val="000000"/>
                <w:sz w:val="19"/>
              </w:rPr>
              <w:t>P0</w:t>
            </w:r>
          </w:p>
        </w:tc>
      </w:tr>
      <w:tr>
        <w:tc>
          <w:tcPr>
            <w:tcW w:type="dxa" w:w="3294"/>
            <w:vAlign w:val="center"/>
          </w:tcPr>
          <w:p>
            <w:pPr>
              <w:spacing w:line="276" w:lineRule="auto" w:before="20" w:after="20"/>
              <w:jc w:val="center"/>
            </w:pPr>
            <w:r>
              <w:rPr>
                <w:rFonts w:ascii="Times New Roman" w:hAnsi="Times New Roman" w:eastAsia="宋体"/>
                <w:b w:val="0"/>
                <w:color w:val="000000"/>
                <w:sz w:val="19"/>
              </w:rPr>
              <w:t>追问与信息补全</w:t>
            </w:r>
          </w:p>
        </w:tc>
        <w:tc>
          <w:tcPr>
            <w:tcW w:type="dxa" w:w="4394"/>
            <w:vAlign w:val="center"/>
          </w:tcPr>
          <w:p>
            <w:pPr>
              <w:spacing w:line="276" w:lineRule="auto" w:before="20" w:after="20"/>
              <w:jc w:val="left"/>
            </w:pPr>
            <w:r>
              <w:rPr>
                <w:rFonts w:ascii="Times New Roman" w:hAnsi="Times New Roman" w:eastAsia="宋体"/>
                <w:b w:val="0"/>
                <w:color w:val="000000"/>
                <w:sz w:val="19"/>
              </w:rPr>
              <w:t>信息不足时主动提问</w:t>
            </w:r>
          </w:p>
        </w:tc>
        <w:tc>
          <w:tcPr>
            <w:tcW w:type="dxa" w:w="1497"/>
            <w:vAlign w:val="center"/>
          </w:tcPr>
          <w:p>
            <w:pPr>
              <w:spacing w:line="276" w:lineRule="auto" w:before="20" w:after="20"/>
              <w:jc w:val="center"/>
            </w:pPr>
            <w:r>
              <w:rPr>
                <w:rFonts w:ascii="Times New Roman" w:hAnsi="Times New Roman" w:eastAsia="宋体"/>
                <w:b w:val="0"/>
                <w:color w:val="000000"/>
                <w:sz w:val="19"/>
              </w:rPr>
              <w:t>P1</w:t>
            </w:r>
          </w:p>
        </w:tc>
      </w:tr>
      <w:tr>
        <w:tc>
          <w:tcPr>
            <w:tcW w:type="dxa" w:w="3294"/>
            <w:shd w:val="clear" w:color="auto" w:fill="F2F6FA"/>
            <w:vAlign w:val="center"/>
          </w:tcPr>
          <w:p>
            <w:pPr>
              <w:spacing w:line="276" w:lineRule="auto" w:before="20" w:after="20"/>
              <w:jc w:val="center"/>
            </w:pPr>
            <w:r>
              <w:rPr>
                <w:rFonts w:ascii="Times New Roman" w:hAnsi="Times New Roman" w:eastAsia="宋体"/>
                <w:b w:val="0"/>
                <w:color w:val="000000"/>
                <w:sz w:val="19"/>
              </w:rPr>
              <w:t>置信度与人工复核</w:t>
            </w:r>
          </w:p>
        </w:tc>
        <w:tc>
          <w:tcPr>
            <w:tcW w:type="dxa" w:w="4394"/>
            <w:shd w:val="clear" w:color="auto" w:fill="F2F6FA"/>
            <w:vAlign w:val="center"/>
          </w:tcPr>
          <w:p>
            <w:pPr>
              <w:spacing w:line="276" w:lineRule="auto" w:before="20" w:after="20"/>
              <w:jc w:val="left"/>
            </w:pPr>
            <w:r>
              <w:rPr>
                <w:rFonts w:ascii="Times New Roman" w:hAnsi="Times New Roman" w:eastAsia="宋体"/>
                <w:b w:val="0"/>
                <w:color w:val="000000"/>
                <w:sz w:val="19"/>
              </w:rPr>
              <w:t>低置信度强制人工确认</w:t>
            </w:r>
          </w:p>
        </w:tc>
        <w:tc>
          <w:tcPr>
            <w:tcW w:type="dxa" w:w="1497"/>
            <w:shd w:val="clear" w:color="auto" w:fill="F2F6FA"/>
            <w:vAlign w:val="center"/>
          </w:tcPr>
          <w:p>
            <w:pPr>
              <w:spacing w:line="276" w:lineRule="auto" w:before="20" w:after="20"/>
              <w:jc w:val="center"/>
            </w:pPr>
            <w:r>
              <w:rPr>
                <w:rFonts w:ascii="Times New Roman" w:hAnsi="Times New Roman" w:eastAsia="宋体"/>
                <w:b w:val="0"/>
                <w:color w:val="000000"/>
                <w:sz w:val="19"/>
              </w:rPr>
              <w:t>P1</w:t>
            </w:r>
          </w:p>
        </w:tc>
      </w:tr>
      <w:tr>
        <w:tc>
          <w:tcPr>
            <w:tcW w:type="dxa" w:w="3294"/>
            <w:vAlign w:val="center"/>
          </w:tcPr>
          <w:p>
            <w:pPr>
              <w:spacing w:line="276" w:lineRule="auto" w:before="20" w:after="20"/>
              <w:jc w:val="center"/>
            </w:pPr>
            <w:r>
              <w:rPr>
                <w:rFonts w:ascii="Times New Roman" w:hAnsi="Times New Roman" w:eastAsia="宋体"/>
                <w:b w:val="0"/>
                <w:color w:val="000000"/>
                <w:sz w:val="19"/>
              </w:rPr>
              <w:t>管理员知识库管理</w:t>
            </w:r>
          </w:p>
        </w:tc>
        <w:tc>
          <w:tcPr>
            <w:tcW w:type="dxa" w:w="4394"/>
            <w:vAlign w:val="center"/>
          </w:tcPr>
          <w:p>
            <w:pPr>
              <w:spacing w:line="276" w:lineRule="auto" w:before="20" w:after="20"/>
              <w:jc w:val="left"/>
            </w:pPr>
            <w:r>
              <w:rPr>
                <w:rFonts w:ascii="Times New Roman" w:hAnsi="Times New Roman" w:eastAsia="宋体"/>
                <w:b w:val="0"/>
                <w:color w:val="000000"/>
                <w:sz w:val="19"/>
              </w:rPr>
              <w:t>上传、解析预览、审核发布</w:t>
            </w:r>
          </w:p>
        </w:tc>
        <w:tc>
          <w:tcPr>
            <w:tcW w:type="dxa" w:w="1497"/>
            <w:vAlign w:val="center"/>
          </w:tcPr>
          <w:p>
            <w:pPr>
              <w:spacing w:line="276" w:lineRule="auto" w:before="20" w:after="20"/>
              <w:jc w:val="center"/>
            </w:pPr>
            <w:r>
              <w:rPr>
                <w:rFonts w:ascii="Times New Roman" w:hAnsi="Times New Roman" w:eastAsia="宋体"/>
                <w:b w:val="0"/>
                <w:color w:val="000000"/>
                <w:sz w:val="19"/>
              </w:rPr>
              <w:t>P1</w:t>
            </w:r>
          </w:p>
        </w:tc>
      </w:tr>
      <w:tr>
        <w:tc>
          <w:tcPr>
            <w:tcW w:type="dxa" w:w="3294"/>
            <w:shd w:val="clear" w:color="auto" w:fill="F2F6FA"/>
            <w:vAlign w:val="center"/>
          </w:tcPr>
          <w:p>
            <w:pPr>
              <w:spacing w:line="276" w:lineRule="auto" w:before="20" w:after="20"/>
              <w:jc w:val="center"/>
            </w:pPr>
            <w:r>
              <w:rPr>
                <w:rFonts w:ascii="Times New Roman" w:hAnsi="Times New Roman" w:eastAsia="宋体"/>
                <w:b w:val="0"/>
                <w:color w:val="000000"/>
                <w:sz w:val="19"/>
              </w:rPr>
              <w:t>演示数据与示例</w:t>
            </w:r>
          </w:p>
        </w:tc>
        <w:tc>
          <w:tcPr>
            <w:tcW w:type="dxa" w:w="4394"/>
            <w:shd w:val="clear" w:color="auto" w:fill="F2F6FA"/>
            <w:vAlign w:val="center"/>
          </w:tcPr>
          <w:p>
            <w:pPr>
              <w:spacing w:line="276" w:lineRule="auto" w:before="20" w:after="20"/>
              <w:jc w:val="left"/>
            </w:pPr>
            <w:r>
              <w:rPr>
                <w:rFonts w:ascii="Times New Roman" w:hAnsi="Times New Roman" w:eastAsia="宋体"/>
                <w:b w:val="0"/>
                <w:color w:val="000000"/>
                <w:sz w:val="19"/>
              </w:rPr>
              <w:t>内置样例与一键演示</w:t>
            </w:r>
          </w:p>
        </w:tc>
        <w:tc>
          <w:tcPr>
            <w:tcW w:type="dxa" w:w="1497"/>
            <w:shd w:val="clear" w:color="auto" w:fill="F2F6FA"/>
            <w:vAlign w:val="center"/>
          </w:tcPr>
          <w:p>
            <w:pPr>
              <w:spacing w:line="276" w:lineRule="auto" w:before="20" w:after="20"/>
              <w:jc w:val="center"/>
            </w:pPr>
            <w:r>
              <w:rPr>
                <w:rFonts w:ascii="Times New Roman" w:hAnsi="Times New Roman" w:eastAsia="宋体"/>
                <w:b w:val="0"/>
                <w:color w:val="000000"/>
                <w:sz w:val="19"/>
              </w:rPr>
              <w:t>P0</w:t>
            </w:r>
          </w:p>
        </w:tc>
      </w:tr>
      <w:tr>
        <w:tc>
          <w:tcPr>
            <w:tcW w:type="dxa" w:w="3294"/>
            <w:vAlign w:val="center"/>
          </w:tcPr>
          <w:p>
            <w:pPr>
              <w:spacing w:line="276" w:lineRule="auto" w:before="20" w:after="20"/>
              <w:jc w:val="center"/>
            </w:pPr>
            <w:r>
              <w:rPr>
                <w:rFonts w:ascii="Times New Roman" w:hAnsi="Times New Roman" w:eastAsia="宋体"/>
                <w:b w:val="0"/>
                <w:color w:val="000000"/>
                <w:sz w:val="19"/>
              </w:rPr>
              <w:t>评测报告页面</w:t>
            </w:r>
          </w:p>
        </w:tc>
        <w:tc>
          <w:tcPr>
            <w:tcW w:type="dxa" w:w="4394"/>
            <w:vAlign w:val="center"/>
          </w:tcPr>
          <w:p>
            <w:pPr>
              <w:spacing w:line="276" w:lineRule="auto" w:before="20" w:after="20"/>
              <w:jc w:val="left"/>
            </w:pPr>
            <w:r>
              <w:rPr>
                <w:rFonts w:ascii="Times New Roman" w:hAnsi="Times New Roman" w:eastAsia="宋体"/>
                <w:b w:val="0"/>
                <w:color w:val="000000"/>
                <w:sz w:val="19"/>
              </w:rPr>
              <w:t>在线查看指标与 badcase</w:t>
            </w:r>
          </w:p>
        </w:tc>
        <w:tc>
          <w:tcPr>
            <w:tcW w:type="dxa" w:w="1497"/>
            <w:vAlign w:val="center"/>
          </w:tcPr>
          <w:p>
            <w:pPr>
              <w:spacing w:line="276" w:lineRule="auto" w:before="20" w:after="20"/>
              <w:jc w:val="center"/>
            </w:pPr>
            <w:r>
              <w:rPr>
                <w:rFonts w:ascii="Times New Roman" w:hAnsi="Times New Roman" w:eastAsia="宋体"/>
                <w:b w:val="0"/>
                <w:color w:val="000000"/>
                <w:sz w:val="19"/>
              </w:rPr>
              <w:t>P2</w:t>
            </w:r>
          </w:p>
        </w:tc>
      </w:tr>
    </w:tbl>
    <w:p>
      <w:pPr>
        <w:spacing w:line="324" w:lineRule="auto" w:after="40"/>
        <w:jc w:val="both"/>
      </w:pPr>
    </w:p>
    <w:p>
      <w:pPr>
        <w:pStyle w:val="Heading2"/>
        <w:keepNext/>
        <w:spacing w:before="200" w:after="80" w:line="288" w:lineRule="auto"/>
      </w:pPr>
      <w:r>
        <w:rPr>
          <w:rFonts w:ascii="Microsoft YaHei" w:hAnsi="Microsoft YaHei" w:eastAsia="微软雅黑"/>
          <w:b/>
          <w:color w:val="000000"/>
          <w:sz w:val="25"/>
        </w:rPr>
        <w:t>3.3 输入输出样例</w:t>
      </w:r>
    </w:p>
    <w:p>
      <w:pPr>
        <w:spacing w:line="324" w:lineRule="auto" w:after="100"/>
        <w:jc w:val="both"/>
      </w:pPr>
      <w:r>
        <w:rPr>
          <w:rFonts w:ascii="Times New Roman" w:hAnsi="Times New Roman" w:eastAsia="宋体"/>
          <w:b w:val="0"/>
          <w:color w:val="000000"/>
          <w:sz w:val="22"/>
        </w:rPr>
        <w:t>以“住宅楼道堆放杂物”为例：</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输入：3 张楼道照片，文字为“××小区 3 栋 2 单元楼道堆放纸箱杂物，通行明显受阻”。</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系统追问：是否涉及疏散通道或安全出口？杂物持续多久？</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输出：隐患类别为占用或堵塞疏散通道；风险等级为一级，应立即处置；依据包括消防相关法规和检索到的现行规范原文；建议包括立即清理疏散通道并采取临时安全措施；同时生成隐患研判单、整改工单和上报简报，每条结论附条款来源。</w:t>
      </w:r>
    </w:p>
    <w:p>
      <w:pPr>
        <w:spacing w:line="324" w:lineRule="auto" w:after="100"/>
        <w:jc w:val="both"/>
      </w:pPr>
      <w:r>
        <w:rPr>
          <w:rFonts w:ascii="Times New Roman" w:hAnsi="Times New Roman" w:eastAsia="宋体"/>
          <w:b w:val="0"/>
          <w:color w:val="000000"/>
          <w:sz w:val="22"/>
        </w:rPr>
        <w:t>示例中的具体条款与等级以系统检索到的现行有效文本为准，计划书不预置未经核对的条文。</w:t>
      </w:r>
    </w:p>
    <w:p>
      <w:pPr>
        <w:pStyle w:val="Heading1"/>
        <w:keepNext/>
        <w:spacing w:before="280" w:after="120" w:line="288" w:lineRule="auto"/>
      </w:pPr>
      <w:r>
        <w:rPr>
          <w:rFonts w:ascii="Microsoft YaHei" w:hAnsi="Microsoft YaHei" w:eastAsia="微软雅黑"/>
          <w:b/>
          <w:color w:val="000000"/>
          <w:sz w:val="30"/>
        </w:rPr>
        <w:t>四、技术选型与依据</w:t>
      </w:r>
    </w:p>
    <w:p>
      <w:pPr>
        <w:pStyle w:val="Heading2"/>
        <w:keepNext/>
        <w:spacing w:before="200" w:after="80" w:line="288" w:lineRule="auto"/>
      </w:pPr>
      <w:r>
        <w:rPr>
          <w:rFonts w:ascii="Microsoft YaHei" w:hAnsi="Microsoft YaHei" w:eastAsia="微软雅黑"/>
          <w:b/>
          <w:color w:val="000000"/>
          <w:sz w:val="25"/>
        </w:rPr>
        <w:t>4.1 选型原则</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学生团队在 8 周内能独立完成，学习曲线适中。</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优先使用免费额度、开源组件和官方 API，避免 GPU 硬件门槛。</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模型和存储组件接口化，后续可替换。</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开发与演示环境要求低，普通笔记本即可运行。</w:t>
      </w:r>
    </w:p>
    <w:p>
      <w:pPr>
        <w:pStyle w:val="Heading2"/>
        <w:keepNext/>
        <w:spacing w:before="200" w:after="80" w:line="288" w:lineRule="auto"/>
      </w:pPr>
      <w:r>
        <w:rPr>
          <w:rFonts w:ascii="Microsoft YaHei" w:hAnsi="Microsoft YaHei" w:eastAsia="微软雅黑"/>
          <w:b/>
          <w:color w:val="000000"/>
          <w:sz w:val="25"/>
        </w:rPr>
        <w:t>4.2 技术栈总表</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ayout w:type="fixed"/>
      </w:tblPr>
      <w:tblGrid>
        <w:gridCol w:w="3061"/>
        <w:gridCol w:w="3061"/>
        <w:gridCol w:w="3061"/>
      </w:tblGrid>
      <w:tr>
        <w:trPr>
          <w:tblHeader w:val="true"/>
        </w:trPr>
        <w:tc>
          <w:tcPr>
            <w:tcW w:type="dxa" w:w="998"/>
            <w:shd w:val="clear" w:color="auto" w:fill="1F4E79"/>
            <w:vAlign w:val="center"/>
          </w:tcPr>
          <w:p>
            <w:pPr>
              <w:spacing w:line="276" w:lineRule="auto" w:before="20" w:after="20"/>
              <w:jc w:val="center"/>
            </w:pPr>
            <w:r>
              <w:rPr>
                <w:rFonts w:ascii="Times New Roman" w:hAnsi="Times New Roman" w:eastAsia="宋体"/>
                <w:b/>
                <w:color w:val="FFFFFF"/>
                <w:sz w:val="19"/>
              </w:rPr>
              <w:t>层级</w:t>
            </w:r>
          </w:p>
        </w:tc>
        <w:tc>
          <w:tcPr>
            <w:tcW w:type="dxa" w:w="4501"/>
            <w:shd w:val="clear" w:color="auto" w:fill="1F4E79"/>
            <w:vAlign w:val="center"/>
          </w:tcPr>
          <w:p>
            <w:pPr>
              <w:spacing w:line="276" w:lineRule="auto" w:before="20" w:after="20"/>
              <w:jc w:val="center"/>
            </w:pPr>
            <w:r>
              <w:rPr>
                <w:rFonts w:ascii="Times New Roman" w:hAnsi="Times New Roman" w:eastAsia="宋体"/>
                <w:b/>
                <w:color w:val="FFFFFF"/>
                <w:sz w:val="19"/>
              </w:rPr>
              <w:t>技术选型</w:t>
            </w:r>
          </w:p>
        </w:tc>
        <w:tc>
          <w:tcPr>
            <w:tcW w:type="dxa" w:w="3685"/>
            <w:shd w:val="clear" w:color="auto" w:fill="1F4E79"/>
            <w:vAlign w:val="center"/>
          </w:tcPr>
          <w:p>
            <w:pPr>
              <w:spacing w:line="276" w:lineRule="auto" w:before="20" w:after="20"/>
              <w:jc w:val="center"/>
            </w:pPr>
            <w:r>
              <w:rPr>
                <w:rFonts w:ascii="Times New Roman" w:hAnsi="Times New Roman" w:eastAsia="宋体"/>
                <w:b/>
                <w:color w:val="FFFFFF"/>
                <w:sz w:val="19"/>
              </w:rPr>
              <w:t>说明</w:t>
            </w:r>
          </w:p>
        </w:tc>
      </w:tr>
      <w:tr>
        <w:tc>
          <w:tcPr>
            <w:tcW w:type="dxa" w:w="998"/>
            <w:vAlign w:val="center"/>
          </w:tcPr>
          <w:p>
            <w:pPr>
              <w:spacing w:line="276" w:lineRule="auto" w:before="20" w:after="20"/>
              <w:jc w:val="center"/>
            </w:pPr>
            <w:r>
              <w:rPr>
                <w:rFonts w:ascii="Times New Roman" w:hAnsi="Times New Roman" w:eastAsia="宋体"/>
                <w:b w:val="0"/>
                <w:color w:val="000000"/>
                <w:sz w:val="19"/>
              </w:rPr>
              <w:t>前端</w:t>
            </w:r>
          </w:p>
        </w:tc>
        <w:tc>
          <w:tcPr>
            <w:tcW w:type="dxa" w:w="4501"/>
            <w:vAlign w:val="center"/>
          </w:tcPr>
          <w:p>
            <w:pPr>
              <w:spacing w:line="276" w:lineRule="auto" w:before="20" w:after="20"/>
              <w:jc w:val="left"/>
            </w:pPr>
            <w:r>
              <w:rPr>
                <w:rFonts w:ascii="Times New Roman" w:hAnsi="Times New Roman" w:eastAsia="宋体"/>
                <w:b w:val="0"/>
                <w:color w:val="000000"/>
                <w:sz w:val="19"/>
              </w:rPr>
              <w:t>Vue 3、TypeScript、Vite、Element Plus</w:t>
            </w:r>
          </w:p>
        </w:tc>
        <w:tc>
          <w:tcPr>
            <w:tcW w:type="dxa" w:w="3685"/>
            <w:vAlign w:val="center"/>
          </w:tcPr>
          <w:p>
            <w:pPr>
              <w:spacing w:line="276" w:lineRule="auto" w:before="20" w:after="20"/>
              <w:jc w:val="left"/>
            </w:pPr>
            <w:r>
              <w:rPr>
                <w:rFonts w:ascii="Times New Roman" w:hAnsi="Times New Roman" w:eastAsia="宋体"/>
                <w:b w:val="0"/>
                <w:color w:val="000000"/>
                <w:sz w:val="19"/>
              </w:rPr>
              <w:t>中文生态好，组件完善，适合快速搭建管理型页面</w:t>
            </w:r>
          </w:p>
        </w:tc>
      </w:tr>
      <w:tr>
        <w:tc>
          <w:tcPr>
            <w:tcW w:type="dxa" w:w="998"/>
            <w:shd w:val="clear" w:color="auto" w:fill="F2F6FA"/>
            <w:vAlign w:val="center"/>
          </w:tcPr>
          <w:p>
            <w:pPr>
              <w:spacing w:line="276" w:lineRule="auto" w:before="20" w:after="20"/>
              <w:jc w:val="center"/>
            </w:pPr>
            <w:r>
              <w:rPr>
                <w:rFonts w:ascii="Times New Roman" w:hAnsi="Times New Roman" w:eastAsia="宋体"/>
                <w:b w:val="0"/>
                <w:color w:val="000000"/>
                <w:sz w:val="19"/>
              </w:rPr>
              <w:t>状态与请求</w:t>
            </w:r>
          </w:p>
        </w:tc>
        <w:tc>
          <w:tcPr>
            <w:tcW w:type="dxa" w:w="4501"/>
            <w:shd w:val="clear" w:color="auto" w:fill="F2F6FA"/>
            <w:vAlign w:val="center"/>
          </w:tcPr>
          <w:p>
            <w:pPr>
              <w:spacing w:line="276" w:lineRule="auto" w:before="20" w:after="20"/>
              <w:jc w:val="left"/>
            </w:pPr>
            <w:r>
              <w:rPr>
                <w:rFonts w:ascii="Times New Roman" w:hAnsi="Times New Roman" w:eastAsia="宋体"/>
                <w:b w:val="0"/>
                <w:color w:val="000000"/>
                <w:sz w:val="19"/>
              </w:rPr>
              <w:t>Pinia、Axios</w:t>
            </w:r>
          </w:p>
        </w:tc>
        <w:tc>
          <w:tcPr>
            <w:tcW w:type="dxa" w:w="3685"/>
            <w:shd w:val="clear" w:color="auto" w:fill="F2F6FA"/>
            <w:vAlign w:val="center"/>
          </w:tcPr>
          <w:p>
            <w:pPr>
              <w:spacing w:line="276" w:lineRule="auto" w:before="20" w:after="20"/>
              <w:jc w:val="left"/>
            </w:pPr>
            <w:r>
              <w:rPr>
                <w:rFonts w:ascii="Times New Roman" w:hAnsi="Times New Roman" w:eastAsia="宋体"/>
                <w:b w:val="0"/>
                <w:color w:val="000000"/>
                <w:sz w:val="19"/>
              </w:rPr>
              <w:t>状态管理与统一 HTTP 调用</w:t>
            </w:r>
          </w:p>
        </w:tc>
      </w:tr>
      <w:tr>
        <w:tc>
          <w:tcPr>
            <w:tcW w:type="dxa" w:w="998"/>
            <w:vAlign w:val="center"/>
          </w:tcPr>
          <w:p>
            <w:pPr>
              <w:spacing w:line="276" w:lineRule="auto" w:before="20" w:after="20"/>
              <w:jc w:val="center"/>
            </w:pPr>
            <w:r>
              <w:rPr>
                <w:rFonts w:ascii="Times New Roman" w:hAnsi="Times New Roman" w:eastAsia="宋体"/>
                <w:b w:val="0"/>
                <w:color w:val="000000"/>
                <w:sz w:val="19"/>
              </w:rPr>
              <w:t>后端</w:t>
            </w:r>
          </w:p>
        </w:tc>
        <w:tc>
          <w:tcPr>
            <w:tcW w:type="dxa" w:w="4501"/>
            <w:vAlign w:val="center"/>
          </w:tcPr>
          <w:p>
            <w:pPr>
              <w:spacing w:line="276" w:lineRule="auto" w:before="20" w:after="20"/>
              <w:jc w:val="left"/>
            </w:pPr>
            <w:r>
              <w:rPr>
                <w:rFonts w:ascii="Times New Roman" w:hAnsi="Times New Roman" w:eastAsia="宋体"/>
                <w:b w:val="0"/>
                <w:color w:val="000000"/>
                <w:sz w:val="19"/>
              </w:rPr>
              <w:t>Python 3.11+、FastAPI、Uvicorn</w:t>
            </w:r>
          </w:p>
        </w:tc>
        <w:tc>
          <w:tcPr>
            <w:tcW w:type="dxa" w:w="3685"/>
            <w:vAlign w:val="center"/>
          </w:tcPr>
          <w:p>
            <w:pPr>
              <w:spacing w:line="276" w:lineRule="auto" w:before="20" w:after="20"/>
              <w:jc w:val="left"/>
            </w:pPr>
            <w:r>
              <w:rPr>
                <w:rFonts w:ascii="Times New Roman" w:hAnsi="Times New Roman" w:eastAsia="宋体"/>
                <w:b w:val="0"/>
                <w:color w:val="000000"/>
                <w:sz w:val="19"/>
              </w:rPr>
              <w:t>异步接口、Pydantic 校验、自带 Swagger 文档</w:t>
            </w:r>
          </w:p>
        </w:tc>
      </w:tr>
      <w:tr>
        <w:tc>
          <w:tcPr>
            <w:tcW w:type="dxa" w:w="998"/>
            <w:shd w:val="clear" w:color="auto" w:fill="F2F6FA"/>
            <w:vAlign w:val="center"/>
          </w:tcPr>
          <w:p>
            <w:pPr>
              <w:spacing w:line="276" w:lineRule="auto" w:before="20" w:after="20"/>
              <w:jc w:val="center"/>
            </w:pPr>
            <w:r>
              <w:rPr>
                <w:rFonts w:ascii="Times New Roman" w:hAnsi="Times New Roman" w:eastAsia="宋体"/>
                <w:b w:val="0"/>
                <w:color w:val="000000"/>
                <w:sz w:val="19"/>
              </w:rPr>
              <w:t>数据访问</w:t>
            </w:r>
          </w:p>
        </w:tc>
        <w:tc>
          <w:tcPr>
            <w:tcW w:type="dxa" w:w="4501"/>
            <w:shd w:val="clear" w:color="auto" w:fill="F2F6FA"/>
            <w:vAlign w:val="center"/>
          </w:tcPr>
          <w:p>
            <w:pPr>
              <w:spacing w:line="276" w:lineRule="auto" w:before="20" w:after="20"/>
              <w:jc w:val="left"/>
            </w:pPr>
            <w:r>
              <w:rPr>
                <w:rFonts w:ascii="Times New Roman" w:hAnsi="Times New Roman" w:eastAsia="宋体"/>
                <w:b w:val="0"/>
                <w:color w:val="000000"/>
                <w:sz w:val="19"/>
              </w:rPr>
              <w:t>SQLAlchemy 2、SQLite（MVP）、PostgreSQL（部署）</w:t>
            </w:r>
          </w:p>
        </w:tc>
        <w:tc>
          <w:tcPr>
            <w:tcW w:type="dxa" w:w="3685"/>
            <w:shd w:val="clear" w:color="auto" w:fill="F2F6FA"/>
            <w:vAlign w:val="center"/>
          </w:tcPr>
          <w:p>
            <w:pPr>
              <w:spacing w:line="276" w:lineRule="auto" w:before="20" w:after="20"/>
              <w:jc w:val="left"/>
            </w:pPr>
            <w:r>
              <w:rPr>
                <w:rFonts w:ascii="Times New Roman" w:hAnsi="Times New Roman" w:eastAsia="宋体"/>
                <w:b w:val="0"/>
                <w:color w:val="000000"/>
                <w:sz w:val="19"/>
              </w:rPr>
              <w:t>开发简单，部署阶段可迁移</w:t>
            </w:r>
          </w:p>
        </w:tc>
      </w:tr>
      <w:tr>
        <w:tc>
          <w:tcPr>
            <w:tcW w:type="dxa" w:w="998"/>
            <w:vAlign w:val="center"/>
          </w:tcPr>
          <w:p>
            <w:pPr>
              <w:spacing w:line="276" w:lineRule="auto" w:before="20" w:after="20"/>
              <w:jc w:val="center"/>
            </w:pPr>
            <w:r>
              <w:rPr>
                <w:rFonts w:ascii="Times New Roman" w:hAnsi="Times New Roman" w:eastAsia="宋体"/>
                <w:b w:val="0"/>
                <w:color w:val="000000"/>
                <w:sz w:val="19"/>
              </w:rPr>
              <w:t>智能体框架</w:t>
            </w:r>
          </w:p>
        </w:tc>
        <w:tc>
          <w:tcPr>
            <w:tcW w:type="dxa" w:w="4501"/>
            <w:vAlign w:val="center"/>
          </w:tcPr>
          <w:p>
            <w:pPr>
              <w:spacing w:line="276" w:lineRule="auto" w:before="20" w:after="20"/>
              <w:jc w:val="left"/>
            </w:pPr>
            <w:r>
              <w:rPr>
                <w:rFonts w:ascii="Times New Roman" w:hAnsi="Times New Roman" w:eastAsia="宋体"/>
                <w:b w:val="0"/>
                <w:color w:val="000000"/>
                <w:sz w:val="19"/>
              </w:rPr>
              <w:t>LangGraph、LangChain Core</w:t>
            </w:r>
          </w:p>
        </w:tc>
        <w:tc>
          <w:tcPr>
            <w:tcW w:type="dxa" w:w="3685"/>
            <w:vAlign w:val="center"/>
          </w:tcPr>
          <w:p>
            <w:pPr>
              <w:spacing w:line="276" w:lineRule="auto" w:before="20" w:after="20"/>
              <w:jc w:val="left"/>
            </w:pPr>
            <w:r>
              <w:rPr>
                <w:rFonts w:ascii="Times New Roman" w:hAnsi="Times New Roman" w:eastAsia="宋体"/>
                <w:b w:val="0"/>
                <w:color w:val="000000"/>
                <w:sz w:val="19"/>
              </w:rPr>
              <w:t>工作流节点可观测、可回退，便于展示与评测</w:t>
            </w:r>
          </w:p>
        </w:tc>
      </w:tr>
      <w:tr>
        <w:tc>
          <w:tcPr>
            <w:tcW w:type="dxa" w:w="998"/>
            <w:shd w:val="clear" w:color="auto" w:fill="F2F6FA"/>
            <w:vAlign w:val="center"/>
          </w:tcPr>
          <w:p>
            <w:pPr>
              <w:spacing w:line="276" w:lineRule="auto" w:before="20" w:after="20"/>
              <w:jc w:val="center"/>
            </w:pPr>
            <w:r>
              <w:rPr>
                <w:rFonts w:ascii="Times New Roman" w:hAnsi="Times New Roman" w:eastAsia="宋体"/>
                <w:b w:val="0"/>
                <w:color w:val="000000"/>
                <w:sz w:val="19"/>
              </w:rPr>
              <w:t>多模态模型</w:t>
            </w:r>
          </w:p>
        </w:tc>
        <w:tc>
          <w:tcPr>
            <w:tcW w:type="dxa" w:w="4501"/>
            <w:shd w:val="clear" w:color="auto" w:fill="F2F6FA"/>
            <w:vAlign w:val="center"/>
          </w:tcPr>
          <w:p>
            <w:pPr>
              <w:spacing w:line="276" w:lineRule="auto" w:before="20" w:after="20"/>
              <w:jc w:val="left"/>
            </w:pPr>
            <w:r>
              <w:rPr>
                <w:rFonts w:ascii="Times New Roman" w:hAnsi="Times New Roman" w:eastAsia="宋体"/>
                <w:b w:val="0"/>
                <w:color w:val="000000"/>
                <w:sz w:val="19"/>
              </w:rPr>
              <w:t>Qwen2.5-VL（DashScope API 首选）、GLM-4V-Flash（免费备选）</w:t>
            </w:r>
          </w:p>
        </w:tc>
        <w:tc>
          <w:tcPr>
            <w:tcW w:type="dxa" w:w="3685"/>
            <w:shd w:val="clear" w:color="auto" w:fill="F2F6FA"/>
            <w:vAlign w:val="center"/>
          </w:tcPr>
          <w:p>
            <w:pPr>
              <w:spacing w:line="276" w:lineRule="auto" w:before="20" w:after="20"/>
              <w:jc w:val="left"/>
            </w:pPr>
            <w:r>
              <w:rPr>
                <w:rFonts w:ascii="Times New Roman" w:hAnsi="Times New Roman" w:eastAsia="宋体"/>
                <w:b w:val="0"/>
                <w:color w:val="000000"/>
                <w:sz w:val="19"/>
              </w:rPr>
              <w:t>中文场景和图片理解稳定，统一 provider 可切换</w:t>
            </w:r>
          </w:p>
        </w:tc>
      </w:tr>
      <w:tr>
        <w:tc>
          <w:tcPr>
            <w:tcW w:type="dxa" w:w="998"/>
            <w:vAlign w:val="center"/>
          </w:tcPr>
          <w:p>
            <w:pPr>
              <w:spacing w:line="276" w:lineRule="auto" w:before="20" w:after="20"/>
              <w:jc w:val="center"/>
            </w:pPr>
            <w:r>
              <w:rPr>
                <w:rFonts w:ascii="Times New Roman" w:hAnsi="Times New Roman" w:eastAsia="宋体"/>
                <w:b w:val="0"/>
                <w:color w:val="000000"/>
                <w:sz w:val="19"/>
              </w:rPr>
              <w:t>文本推理</w:t>
            </w:r>
          </w:p>
        </w:tc>
        <w:tc>
          <w:tcPr>
            <w:tcW w:type="dxa" w:w="4501"/>
            <w:vAlign w:val="center"/>
          </w:tcPr>
          <w:p>
            <w:pPr>
              <w:spacing w:line="276" w:lineRule="auto" w:before="20" w:after="20"/>
              <w:jc w:val="left"/>
            </w:pPr>
            <w:r>
              <w:rPr>
                <w:rFonts w:ascii="Times New Roman" w:hAnsi="Times New Roman" w:eastAsia="宋体"/>
                <w:b w:val="0"/>
                <w:color w:val="000000"/>
                <w:sz w:val="19"/>
              </w:rPr>
              <w:t>Qwen-Plus 或 GLM-4-Flash</w:t>
            </w:r>
          </w:p>
        </w:tc>
        <w:tc>
          <w:tcPr>
            <w:tcW w:type="dxa" w:w="3685"/>
            <w:vAlign w:val="center"/>
          </w:tcPr>
          <w:p>
            <w:pPr>
              <w:spacing w:line="276" w:lineRule="auto" w:before="20" w:after="20"/>
              <w:jc w:val="left"/>
            </w:pPr>
            <w:r>
              <w:rPr>
                <w:rFonts w:ascii="Times New Roman" w:hAnsi="Times New Roman" w:eastAsia="宋体"/>
                <w:b w:val="0"/>
                <w:color w:val="000000"/>
                <w:sz w:val="19"/>
              </w:rPr>
              <w:t>结构化生成与 Agent 推理</w:t>
            </w:r>
          </w:p>
        </w:tc>
      </w:tr>
      <w:tr>
        <w:tc>
          <w:tcPr>
            <w:tcW w:type="dxa" w:w="998"/>
            <w:shd w:val="clear" w:color="auto" w:fill="F2F6FA"/>
            <w:vAlign w:val="center"/>
          </w:tcPr>
          <w:p>
            <w:pPr>
              <w:spacing w:line="276" w:lineRule="auto" w:before="20" w:after="20"/>
              <w:jc w:val="center"/>
            </w:pPr>
            <w:r>
              <w:rPr>
                <w:rFonts w:ascii="Times New Roman" w:hAnsi="Times New Roman" w:eastAsia="宋体"/>
                <w:b w:val="0"/>
                <w:color w:val="000000"/>
                <w:sz w:val="19"/>
              </w:rPr>
              <w:t>文本嵌入</w:t>
            </w:r>
          </w:p>
        </w:tc>
        <w:tc>
          <w:tcPr>
            <w:tcW w:type="dxa" w:w="4501"/>
            <w:shd w:val="clear" w:color="auto" w:fill="F2F6FA"/>
            <w:vAlign w:val="center"/>
          </w:tcPr>
          <w:p>
            <w:pPr>
              <w:spacing w:line="276" w:lineRule="auto" w:before="20" w:after="20"/>
              <w:jc w:val="left"/>
            </w:pPr>
            <w:r>
              <w:rPr>
                <w:rFonts w:ascii="Times New Roman" w:hAnsi="Times New Roman" w:eastAsia="宋体"/>
                <w:b w:val="0"/>
                <w:color w:val="000000"/>
                <w:sz w:val="19"/>
              </w:rPr>
              <w:t>BGE-M3（API 或本地）或 DashScope text-embedding-v3</w:t>
            </w:r>
          </w:p>
        </w:tc>
        <w:tc>
          <w:tcPr>
            <w:tcW w:type="dxa" w:w="3685"/>
            <w:shd w:val="clear" w:color="auto" w:fill="F2F6FA"/>
            <w:vAlign w:val="center"/>
          </w:tcPr>
          <w:p>
            <w:pPr>
              <w:spacing w:line="276" w:lineRule="auto" w:before="20" w:after="20"/>
              <w:jc w:val="left"/>
            </w:pPr>
            <w:r>
              <w:rPr>
                <w:rFonts w:ascii="Times New Roman" w:hAnsi="Times New Roman" w:eastAsia="宋体"/>
                <w:b w:val="0"/>
                <w:color w:val="000000"/>
                <w:sz w:val="19"/>
              </w:rPr>
              <w:t>中文法规检索效果好</w:t>
            </w:r>
          </w:p>
        </w:tc>
      </w:tr>
      <w:tr>
        <w:tc>
          <w:tcPr>
            <w:tcW w:type="dxa" w:w="998"/>
            <w:vAlign w:val="center"/>
          </w:tcPr>
          <w:p>
            <w:pPr>
              <w:spacing w:line="276" w:lineRule="auto" w:before="20" w:after="20"/>
              <w:jc w:val="center"/>
            </w:pPr>
            <w:r>
              <w:rPr>
                <w:rFonts w:ascii="Times New Roman" w:hAnsi="Times New Roman" w:eastAsia="宋体"/>
                <w:b w:val="0"/>
                <w:color w:val="000000"/>
                <w:sz w:val="19"/>
              </w:rPr>
              <w:t>向量库</w:t>
            </w:r>
          </w:p>
        </w:tc>
        <w:tc>
          <w:tcPr>
            <w:tcW w:type="dxa" w:w="4501"/>
            <w:vAlign w:val="center"/>
          </w:tcPr>
          <w:p>
            <w:pPr>
              <w:spacing w:line="276" w:lineRule="auto" w:before="20" w:after="20"/>
              <w:jc w:val="left"/>
            </w:pPr>
            <w:r>
              <w:rPr>
                <w:rFonts w:ascii="Times New Roman" w:hAnsi="Times New Roman" w:eastAsia="宋体"/>
                <w:b w:val="0"/>
                <w:color w:val="000000"/>
                <w:sz w:val="19"/>
              </w:rPr>
              <w:t>FAISS（MVP）、Qdrant 或 Milvus（规模化）</w:t>
            </w:r>
          </w:p>
        </w:tc>
        <w:tc>
          <w:tcPr>
            <w:tcW w:type="dxa" w:w="3685"/>
            <w:vAlign w:val="center"/>
          </w:tcPr>
          <w:p>
            <w:pPr>
              <w:spacing w:line="276" w:lineRule="auto" w:before="20" w:after="20"/>
              <w:jc w:val="left"/>
            </w:pPr>
            <w:r>
              <w:rPr>
                <w:rFonts w:ascii="Times New Roman" w:hAnsi="Times New Roman" w:eastAsia="宋体"/>
                <w:b w:val="0"/>
                <w:color w:val="000000"/>
                <w:sz w:val="19"/>
              </w:rPr>
              <w:t>MVP 零运维，接口预留扩展</w:t>
            </w:r>
          </w:p>
        </w:tc>
      </w:tr>
      <w:tr>
        <w:tc>
          <w:tcPr>
            <w:tcW w:type="dxa" w:w="998"/>
            <w:shd w:val="clear" w:color="auto" w:fill="F2F6FA"/>
            <w:vAlign w:val="center"/>
          </w:tcPr>
          <w:p>
            <w:pPr>
              <w:spacing w:line="276" w:lineRule="auto" w:before="20" w:after="20"/>
              <w:jc w:val="center"/>
            </w:pPr>
            <w:r>
              <w:rPr>
                <w:rFonts w:ascii="Times New Roman" w:hAnsi="Times New Roman" w:eastAsia="宋体"/>
                <w:b w:val="0"/>
                <w:color w:val="000000"/>
                <w:sz w:val="19"/>
              </w:rPr>
              <w:t>对象存储</w:t>
            </w:r>
          </w:p>
        </w:tc>
        <w:tc>
          <w:tcPr>
            <w:tcW w:type="dxa" w:w="4501"/>
            <w:shd w:val="clear" w:color="auto" w:fill="F2F6FA"/>
            <w:vAlign w:val="center"/>
          </w:tcPr>
          <w:p>
            <w:pPr>
              <w:spacing w:line="276" w:lineRule="auto" w:before="20" w:after="20"/>
              <w:jc w:val="left"/>
            </w:pPr>
            <w:r>
              <w:rPr>
                <w:rFonts w:ascii="Times New Roman" w:hAnsi="Times New Roman" w:eastAsia="宋体"/>
                <w:b w:val="0"/>
                <w:color w:val="000000"/>
                <w:sz w:val="19"/>
              </w:rPr>
              <w:t>本地磁盘（MVP）、MinIO（规模化）</w:t>
            </w:r>
          </w:p>
        </w:tc>
        <w:tc>
          <w:tcPr>
            <w:tcW w:type="dxa" w:w="3685"/>
            <w:shd w:val="clear" w:color="auto" w:fill="F2F6FA"/>
            <w:vAlign w:val="center"/>
          </w:tcPr>
          <w:p>
            <w:pPr>
              <w:spacing w:line="276" w:lineRule="auto" w:before="20" w:after="20"/>
              <w:jc w:val="left"/>
            </w:pPr>
            <w:r>
              <w:rPr>
                <w:rFonts w:ascii="Times New Roman" w:hAnsi="Times New Roman" w:eastAsia="宋体"/>
                <w:b w:val="0"/>
                <w:color w:val="000000"/>
                <w:sz w:val="19"/>
              </w:rPr>
              <w:t>保存图片与导出文件</w:t>
            </w:r>
          </w:p>
        </w:tc>
      </w:tr>
      <w:tr>
        <w:tc>
          <w:tcPr>
            <w:tcW w:type="dxa" w:w="998"/>
            <w:vAlign w:val="center"/>
          </w:tcPr>
          <w:p>
            <w:pPr>
              <w:spacing w:line="276" w:lineRule="auto" w:before="20" w:after="20"/>
              <w:jc w:val="center"/>
            </w:pPr>
            <w:r>
              <w:rPr>
                <w:rFonts w:ascii="Times New Roman" w:hAnsi="Times New Roman" w:eastAsia="宋体"/>
                <w:b w:val="0"/>
                <w:color w:val="000000"/>
                <w:sz w:val="19"/>
              </w:rPr>
              <w:t>部署</w:t>
            </w:r>
          </w:p>
        </w:tc>
        <w:tc>
          <w:tcPr>
            <w:tcW w:type="dxa" w:w="4501"/>
            <w:vAlign w:val="center"/>
          </w:tcPr>
          <w:p>
            <w:pPr>
              <w:spacing w:line="276" w:lineRule="auto" w:before="20" w:after="20"/>
              <w:jc w:val="left"/>
            </w:pPr>
            <w:r>
              <w:rPr>
                <w:rFonts w:ascii="Times New Roman" w:hAnsi="Times New Roman" w:eastAsia="宋体"/>
                <w:b w:val="0"/>
                <w:color w:val="000000"/>
                <w:sz w:val="19"/>
              </w:rPr>
              <w:t>Docker Compose、Nginx</w:t>
            </w:r>
          </w:p>
        </w:tc>
        <w:tc>
          <w:tcPr>
            <w:tcW w:type="dxa" w:w="3685"/>
            <w:vAlign w:val="center"/>
          </w:tcPr>
          <w:p>
            <w:pPr>
              <w:spacing w:line="276" w:lineRule="auto" w:before="20" w:after="20"/>
              <w:jc w:val="left"/>
            </w:pPr>
            <w:r>
              <w:rPr>
                <w:rFonts w:ascii="Times New Roman" w:hAnsi="Times New Roman" w:eastAsia="宋体"/>
                <w:b w:val="0"/>
                <w:color w:val="000000"/>
                <w:sz w:val="19"/>
              </w:rPr>
              <w:t>本地与演示服务器行为一致</w:t>
            </w:r>
          </w:p>
        </w:tc>
      </w:tr>
      <w:tr>
        <w:tc>
          <w:tcPr>
            <w:tcW w:type="dxa" w:w="998"/>
            <w:shd w:val="clear" w:color="auto" w:fill="F2F6FA"/>
            <w:vAlign w:val="center"/>
          </w:tcPr>
          <w:p>
            <w:pPr>
              <w:spacing w:line="276" w:lineRule="auto" w:before="20" w:after="20"/>
              <w:jc w:val="center"/>
            </w:pPr>
            <w:r>
              <w:rPr>
                <w:rFonts w:ascii="Times New Roman" w:hAnsi="Times New Roman" w:eastAsia="宋体"/>
                <w:b w:val="0"/>
                <w:color w:val="000000"/>
                <w:sz w:val="19"/>
              </w:rPr>
              <w:t>开发工具链</w:t>
            </w:r>
          </w:p>
        </w:tc>
        <w:tc>
          <w:tcPr>
            <w:tcW w:type="dxa" w:w="4501"/>
            <w:shd w:val="clear" w:color="auto" w:fill="F2F6FA"/>
            <w:vAlign w:val="center"/>
          </w:tcPr>
          <w:p>
            <w:pPr>
              <w:spacing w:line="276" w:lineRule="auto" w:before="20" w:after="20"/>
              <w:jc w:val="left"/>
            </w:pPr>
            <w:r>
              <w:rPr>
                <w:rFonts w:ascii="Times New Roman" w:hAnsi="Times New Roman" w:eastAsia="宋体"/>
                <w:b w:val="0"/>
                <w:color w:val="000000"/>
                <w:sz w:val="19"/>
              </w:rPr>
              <w:t>Git、Gitee、VS Code、uv、pytest、Ruff、APIFox</w:t>
            </w:r>
          </w:p>
        </w:tc>
        <w:tc>
          <w:tcPr>
            <w:tcW w:type="dxa" w:w="3685"/>
            <w:shd w:val="clear" w:color="auto" w:fill="F2F6FA"/>
            <w:vAlign w:val="center"/>
          </w:tcPr>
          <w:p>
            <w:pPr>
              <w:spacing w:line="276" w:lineRule="auto" w:before="20" w:after="20"/>
              <w:jc w:val="left"/>
            </w:pPr>
            <w:r>
              <w:rPr>
                <w:rFonts w:ascii="Times New Roman" w:hAnsi="Times New Roman" w:eastAsia="宋体"/>
                <w:b w:val="0"/>
                <w:color w:val="000000"/>
                <w:sz w:val="19"/>
              </w:rPr>
              <w:t>协作、质量与接口调试</w:t>
            </w:r>
          </w:p>
        </w:tc>
      </w:tr>
    </w:tbl>
    <w:p>
      <w:pPr>
        <w:spacing w:line="324" w:lineRule="auto" w:after="40"/>
        <w:jc w:val="both"/>
      </w:pPr>
    </w:p>
    <w:p>
      <w:pPr>
        <w:pStyle w:val="Heading2"/>
        <w:keepNext/>
        <w:spacing w:before="200" w:after="80" w:line="288" w:lineRule="auto"/>
      </w:pPr>
      <w:r>
        <w:rPr>
          <w:rFonts w:ascii="Microsoft YaHei" w:hAnsi="Microsoft YaHei" w:eastAsia="微软雅黑"/>
          <w:b/>
          <w:color w:val="000000"/>
          <w:sz w:val="25"/>
        </w:rPr>
        <w:t>4.3 多模态模型选型论证</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ayout w:type="fixed"/>
      </w:tblPr>
      <w:tblGrid>
        <w:gridCol w:w="2296"/>
        <w:gridCol w:w="2296"/>
        <w:gridCol w:w="2296"/>
        <w:gridCol w:w="2296"/>
      </w:tblGrid>
      <w:tr>
        <w:trPr>
          <w:tblHeader w:val="true"/>
        </w:trPr>
        <w:tc>
          <w:tcPr>
            <w:tcW w:type="dxa" w:w="2568"/>
            <w:shd w:val="clear" w:color="auto" w:fill="1F4E79"/>
            <w:vAlign w:val="center"/>
          </w:tcPr>
          <w:p>
            <w:pPr>
              <w:spacing w:line="276" w:lineRule="auto" w:before="20" w:after="20"/>
              <w:jc w:val="center"/>
            </w:pPr>
            <w:r>
              <w:rPr>
                <w:rFonts w:ascii="Times New Roman" w:hAnsi="Times New Roman" w:eastAsia="宋体"/>
                <w:b/>
                <w:color w:val="FFFFFF"/>
                <w:sz w:val="19"/>
              </w:rPr>
              <w:t>方案</w:t>
            </w:r>
          </w:p>
        </w:tc>
        <w:tc>
          <w:tcPr>
            <w:tcW w:type="dxa" w:w="2767"/>
            <w:shd w:val="clear" w:color="auto" w:fill="1F4E79"/>
            <w:vAlign w:val="center"/>
          </w:tcPr>
          <w:p>
            <w:pPr>
              <w:spacing w:line="276" w:lineRule="auto" w:before="20" w:after="20"/>
              <w:jc w:val="center"/>
            </w:pPr>
            <w:r>
              <w:rPr>
                <w:rFonts w:ascii="Times New Roman" w:hAnsi="Times New Roman" w:eastAsia="宋体"/>
                <w:b/>
                <w:color w:val="FFFFFF"/>
                <w:sz w:val="19"/>
              </w:rPr>
              <w:t>优点</w:t>
            </w:r>
          </w:p>
        </w:tc>
        <w:tc>
          <w:tcPr>
            <w:tcW w:type="dxa" w:w="2665"/>
            <w:shd w:val="clear" w:color="auto" w:fill="1F4E79"/>
            <w:vAlign w:val="center"/>
          </w:tcPr>
          <w:p>
            <w:pPr>
              <w:spacing w:line="276" w:lineRule="auto" w:before="20" w:after="20"/>
              <w:jc w:val="center"/>
            </w:pPr>
            <w:r>
              <w:rPr>
                <w:rFonts w:ascii="Times New Roman" w:hAnsi="Times New Roman" w:eastAsia="宋体"/>
                <w:b/>
                <w:color w:val="FFFFFF"/>
                <w:sz w:val="19"/>
              </w:rPr>
              <w:t>风险</w:t>
            </w:r>
          </w:p>
        </w:tc>
        <w:tc>
          <w:tcPr>
            <w:tcW w:type="dxa" w:w="1185"/>
            <w:shd w:val="clear" w:color="auto" w:fill="1F4E79"/>
            <w:vAlign w:val="center"/>
          </w:tcPr>
          <w:p>
            <w:pPr>
              <w:spacing w:line="276" w:lineRule="auto" w:before="20" w:after="20"/>
              <w:jc w:val="center"/>
            </w:pPr>
            <w:r>
              <w:rPr>
                <w:rFonts w:ascii="Times New Roman" w:hAnsi="Times New Roman" w:eastAsia="宋体"/>
                <w:b/>
                <w:color w:val="FFFFFF"/>
                <w:sz w:val="19"/>
              </w:rPr>
              <w:t>结论</w:t>
            </w:r>
          </w:p>
        </w:tc>
      </w:tr>
      <w:tr>
        <w:tc>
          <w:tcPr>
            <w:tcW w:type="dxa" w:w="2568"/>
            <w:vAlign w:val="center"/>
          </w:tcPr>
          <w:p>
            <w:pPr>
              <w:spacing w:line="276" w:lineRule="auto" w:before="20" w:after="20"/>
              <w:jc w:val="left"/>
            </w:pPr>
            <w:r>
              <w:rPr>
                <w:rFonts w:ascii="Times New Roman" w:hAnsi="Times New Roman" w:eastAsia="宋体"/>
                <w:b w:val="0"/>
                <w:color w:val="000000"/>
                <w:sz w:val="19"/>
              </w:rPr>
              <w:t>DeepSeek-VL 自建部署</w:t>
            </w:r>
          </w:p>
        </w:tc>
        <w:tc>
          <w:tcPr>
            <w:tcW w:type="dxa" w:w="2767"/>
            <w:vAlign w:val="center"/>
          </w:tcPr>
          <w:p>
            <w:pPr>
              <w:spacing w:line="276" w:lineRule="auto" w:before="20" w:after="20"/>
              <w:jc w:val="left"/>
            </w:pPr>
            <w:r>
              <w:rPr>
                <w:rFonts w:ascii="Times New Roman" w:hAnsi="Times New Roman" w:eastAsia="宋体"/>
                <w:b w:val="0"/>
                <w:color w:val="000000"/>
                <w:sz w:val="19"/>
              </w:rPr>
              <w:t>权重开源、可控性强</w:t>
            </w:r>
          </w:p>
        </w:tc>
        <w:tc>
          <w:tcPr>
            <w:tcW w:type="dxa" w:w="2665"/>
            <w:vAlign w:val="center"/>
          </w:tcPr>
          <w:p>
            <w:pPr>
              <w:spacing w:line="276" w:lineRule="auto" w:before="20" w:after="20"/>
              <w:jc w:val="left"/>
            </w:pPr>
            <w:r>
              <w:rPr>
                <w:rFonts w:ascii="Times New Roman" w:hAnsi="Times New Roman" w:eastAsia="宋体"/>
                <w:b w:val="0"/>
                <w:color w:val="000000"/>
                <w:sz w:val="19"/>
              </w:rPr>
              <w:t>需要 GPU，商业 API 不成熟，团队调试成本高</w:t>
            </w:r>
          </w:p>
        </w:tc>
        <w:tc>
          <w:tcPr>
            <w:tcW w:type="dxa" w:w="1185"/>
            <w:vAlign w:val="center"/>
          </w:tcPr>
          <w:p>
            <w:pPr>
              <w:spacing w:line="276" w:lineRule="auto" w:before="20" w:after="20"/>
              <w:jc w:val="left"/>
            </w:pPr>
            <w:r>
              <w:rPr>
                <w:rFonts w:ascii="Times New Roman" w:hAnsi="Times New Roman" w:eastAsia="宋体"/>
                <w:b w:val="0"/>
                <w:color w:val="000000"/>
                <w:sz w:val="19"/>
              </w:rPr>
              <w:t>不作为首选</w:t>
            </w:r>
          </w:p>
        </w:tc>
      </w:tr>
      <w:tr>
        <w:tc>
          <w:tcPr>
            <w:tcW w:type="dxa" w:w="2568"/>
            <w:shd w:val="clear" w:color="auto" w:fill="F2F6FA"/>
            <w:vAlign w:val="center"/>
          </w:tcPr>
          <w:p>
            <w:pPr>
              <w:spacing w:line="276" w:lineRule="auto" w:before="20" w:after="20"/>
              <w:jc w:val="left"/>
            </w:pPr>
            <w:r>
              <w:rPr>
                <w:rFonts w:ascii="Times New Roman" w:hAnsi="Times New Roman" w:eastAsia="宋体"/>
                <w:b w:val="0"/>
                <w:color w:val="000000"/>
                <w:sz w:val="19"/>
              </w:rPr>
              <w:t>Qwen2.5-VL API</w:t>
            </w:r>
          </w:p>
        </w:tc>
        <w:tc>
          <w:tcPr>
            <w:tcW w:type="dxa" w:w="2767"/>
            <w:shd w:val="clear" w:color="auto" w:fill="F2F6FA"/>
            <w:vAlign w:val="center"/>
          </w:tcPr>
          <w:p>
            <w:pPr>
              <w:spacing w:line="276" w:lineRule="auto" w:before="20" w:after="20"/>
              <w:jc w:val="left"/>
            </w:pPr>
            <w:r>
              <w:rPr>
                <w:rFonts w:ascii="Times New Roman" w:hAnsi="Times New Roman" w:eastAsia="宋体"/>
                <w:b w:val="0"/>
                <w:color w:val="000000"/>
                <w:sz w:val="19"/>
              </w:rPr>
              <w:t>中文场景、OCR 与多图理解较强，有免费额度和低单价</w:t>
            </w:r>
          </w:p>
        </w:tc>
        <w:tc>
          <w:tcPr>
            <w:tcW w:type="dxa" w:w="2665"/>
            <w:shd w:val="clear" w:color="auto" w:fill="F2F6FA"/>
            <w:vAlign w:val="center"/>
          </w:tcPr>
          <w:p>
            <w:pPr>
              <w:spacing w:line="276" w:lineRule="auto" w:before="20" w:after="20"/>
              <w:jc w:val="left"/>
            </w:pPr>
            <w:r>
              <w:rPr>
                <w:rFonts w:ascii="Times New Roman" w:hAnsi="Times New Roman" w:eastAsia="宋体"/>
                <w:b w:val="0"/>
                <w:color w:val="000000"/>
                <w:sz w:val="19"/>
              </w:rPr>
              <w:t>依赖云 API 与额度</w:t>
            </w:r>
          </w:p>
        </w:tc>
        <w:tc>
          <w:tcPr>
            <w:tcW w:type="dxa" w:w="1185"/>
            <w:shd w:val="clear" w:color="auto" w:fill="F2F6FA"/>
            <w:vAlign w:val="center"/>
          </w:tcPr>
          <w:p>
            <w:pPr>
              <w:spacing w:line="276" w:lineRule="auto" w:before="20" w:after="20"/>
              <w:jc w:val="left"/>
            </w:pPr>
            <w:r>
              <w:rPr>
                <w:rFonts w:ascii="Times New Roman" w:hAnsi="Times New Roman" w:eastAsia="宋体"/>
                <w:b w:val="0"/>
                <w:color w:val="000000"/>
                <w:sz w:val="19"/>
              </w:rPr>
              <w:t>首选</w:t>
            </w:r>
          </w:p>
        </w:tc>
      </w:tr>
      <w:tr>
        <w:tc>
          <w:tcPr>
            <w:tcW w:type="dxa" w:w="2568"/>
            <w:vAlign w:val="center"/>
          </w:tcPr>
          <w:p>
            <w:pPr>
              <w:spacing w:line="276" w:lineRule="auto" w:before="20" w:after="20"/>
              <w:jc w:val="left"/>
            </w:pPr>
            <w:r>
              <w:rPr>
                <w:rFonts w:ascii="Times New Roman" w:hAnsi="Times New Roman" w:eastAsia="宋体"/>
                <w:b w:val="0"/>
                <w:color w:val="000000"/>
                <w:sz w:val="19"/>
              </w:rPr>
              <w:t>GLM-4V-Flash</w:t>
            </w:r>
          </w:p>
        </w:tc>
        <w:tc>
          <w:tcPr>
            <w:tcW w:type="dxa" w:w="2767"/>
            <w:vAlign w:val="center"/>
          </w:tcPr>
          <w:p>
            <w:pPr>
              <w:spacing w:line="276" w:lineRule="auto" w:before="20" w:after="20"/>
              <w:jc w:val="left"/>
            </w:pPr>
            <w:r>
              <w:rPr>
                <w:rFonts w:ascii="Times New Roman" w:hAnsi="Times New Roman" w:eastAsia="宋体"/>
                <w:b w:val="0"/>
                <w:color w:val="000000"/>
                <w:sz w:val="19"/>
              </w:rPr>
              <w:t>免费、接入简单、运行稳定</w:t>
            </w:r>
          </w:p>
        </w:tc>
        <w:tc>
          <w:tcPr>
            <w:tcW w:type="dxa" w:w="2665"/>
            <w:vAlign w:val="center"/>
          </w:tcPr>
          <w:p>
            <w:pPr>
              <w:spacing w:line="276" w:lineRule="auto" w:before="20" w:after="20"/>
              <w:jc w:val="left"/>
            </w:pPr>
            <w:r>
              <w:rPr>
                <w:rFonts w:ascii="Times New Roman" w:hAnsi="Times New Roman" w:eastAsia="宋体"/>
                <w:b w:val="0"/>
                <w:color w:val="000000"/>
                <w:sz w:val="19"/>
              </w:rPr>
              <w:t>复杂场景能力弱于大参数模型</w:t>
            </w:r>
          </w:p>
        </w:tc>
        <w:tc>
          <w:tcPr>
            <w:tcW w:type="dxa" w:w="1185"/>
            <w:vAlign w:val="center"/>
          </w:tcPr>
          <w:p>
            <w:pPr>
              <w:spacing w:line="276" w:lineRule="auto" w:before="20" w:after="20"/>
              <w:jc w:val="left"/>
            </w:pPr>
            <w:r>
              <w:rPr>
                <w:rFonts w:ascii="Times New Roman" w:hAnsi="Times New Roman" w:eastAsia="宋体"/>
                <w:b w:val="0"/>
                <w:color w:val="000000"/>
                <w:sz w:val="19"/>
              </w:rPr>
              <w:t>免费备选与降本通道</w:t>
            </w:r>
          </w:p>
        </w:tc>
      </w:tr>
      <w:tr>
        <w:tc>
          <w:tcPr>
            <w:tcW w:type="dxa" w:w="2568"/>
            <w:shd w:val="clear" w:color="auto" w:fill="F2F6FA"/>
            <w:vAlign w:val="center"/>
          </w:tcPr>
          <w:p>
            <w:pPr>
              <w:spacing w:line="276" w:lineRule="auto" w:before="20" w:after="20"/>
              <w:jc w:val="left"/>
            </w:pPr>
            <w:r>
              <w:rPr>
                <w:rFonts w:ascii="Times New Roman" w:hAnsi="Times New Roman" w:eastAsia="宋体"/>
                <w:b w:val="0"/>
                <w:color w:val="000000"/>
                <w:sz w:val="19"/>
              </w:rPr>
              <w:t>本地 Qwen2.5-VL 7B（Ollama）</w:t>
            </w:r>
          </w:p>
        </w:tc>
        <w:tc>
          <w:tcPr>
            <w:tcW w:type="dxa" w:w="2767"/>
            <w:shd w:val="clear" w:color="auto" w:fill="F2F6FA"/>
            <w:vAlign w:val="center"/>
          </w:tcPr>
          <w:p>
            <w:pPr>
              <w:spacing w:line="276" w:lineRule="auto" w:before="20" w:after="20"/>
              <w:jc w:val="left"/>
            </w:pPr>
            <w:r>
              <w:rPr>
                <w:rFonts w:ascii="Times New Roman" w:hAnsi="Times New Roman" w:eastAsia="宋体"/>
                <w:b w:val="0"/>
                <w:color w:val="000000"/>
                <w:sz w:val="19"/>
              </w:rPr>
              <w:t>可离线演示</w:t>
            </w:r>
          </w:p>
        </w:tc>
        <w:tc>
          <w:tcPr>
            <w:tcW w:type="dxa" w:w="2665"/>
            <w:shd w:val="clear" w:color="auto" w:fill="F2F6FA"/>
            <w:vAlign w:val="center"/>
          </w:tcPr>
          <w:p>
            <w:pPr>
              <w:spacing w:line="276" w:lineRule="auto" w:before="20" w:after="20"/>
              <w:jc w:val="left"/>
            </w:pPr>
            <w:r>
              <w:rPr>
                <w:rFonts w:ascii="Times New Roman" w:hAnsi="Times New Roman" w:eastAsia="宋体"/>
                <w:b w:val="0"/>
                <w:color w:val="000000"/>
                <w:sz w:val="19"/>
              </w:rPr>
              <w:t>需要一定显存，效果有限</w:t>
            </w:r>
          </w:p>
        </w:tc>
        <w:tc>
          <w:tcPr>
            <w:tcW w:type="dxa" w:w="1185"/>
            <w:shd w:val="clear" w:color="auto" w:fill="F2F6FA"/>
            <w:vAlign w:val="center"/>
          </w:tcPr>
          <w:p>
            <w:pPr>
              <w:spacing w:line="276" w:lineRule="auto" w:before="20" w:after="20"/>
              <w:jc w:val="left"/>
            </w:pPr>
            <w:r>
              <w:rPr>
                <w:rFonts w:ascii="Times New Roman" w:hAnsi="Times New Roman" w:eastAsia="宋体"/>
                <w:b w:val="0"/>
                <w:color w:val="000000"/>
                <w:sz w:val="19"/>
              </w:rPr>
              <w:t>演示备选，不阻塞主线</w:t>
            </w:r>
          </w:p>
        </w:tc>
      </w:tr>
    </w:tbl>
    <w:p>
      <w:pPr>
        <w:spacing w:line="324" w:lineRule="auto" w:after="40"/>
        <w:jc w:val="both"/>
      </w:pPr>
    </w:p>
    <w:p>
      <w:pPr>
        <w:pStyle w:val="Heading2"/>
        <w:keepNext/>
        <w:spacing w:before="200" w:after="80" w:line="288" w:lineRule="auto"/>
      </w:pPr>
      <w:r>
        <w:rPr>
          <w:rFonts w:ascii="Microsoft YaHei" w:hAnsi="Microsoft YaHei" w:eastAsia="微软雅黑"/>
          <w:b/>
          <w:color w:val="000000"/>
          <w:sz w:val="25"/>
        </w:rPr>
        <w:t>4.4 关键技术决策</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使用 LangGraph 搭建工作流：多轮追问、工具调用、失败回退和中间状态展示在比赛演示中价值高，评审可以直接看到 Agent 的研判过程。</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风险分级不只用 LLM：先由结构化规则初步判定，再由 LLM 结合检索条款进行解释与校验，降低结果随机性。</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先使用 FAISS，再按需迁移：MVP 阶段知识条数为数百至数千条，FAISS 零运维；数据量或并发上升后再迁移 Qdrant 或 Milvus。</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以 API 为主、本地模型为辅：学生团队无 GPU 预算，API 免费额度足够完成开发和演示，同时保留 Ollama 本地通道作为演示备份。</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防幻觉策略：生成结论必须引用检索片段，证据检查节点逐条校验依据；无依据的关键结论进入低置信分支并提示人工复核。</w:t>
      </w:r>
    </w:p>
    <w:p>
      <w:pPr>
        <w:pStyle w:val="Heading1"/>
        <w:keepNext/>
        <w:spacing w:before="280" w:after="120" w:line="288" w:lineRule="auto"/>
      </w:pPr>
      <w:r>
        <w:rPr>
          <w:rFonts w:ascii="Microsoft YaHei" w:hAnsi="Microsoft YaHei" w:eastAsia="微软雅黑"/>
          <w:b/>
          <w:color w:val="000000"/>
          <w:sz w:val="30"/>
        </w:rPr>
        <w:t>五、系统架构设计</w:t>
      </w:r>
    </w:p>
    <w:p>
      <w:pPr>
        <w:pStyle w:val="Heading2"/>
        <w:keepNext/>
        <w:spacing w:before="200" w:after="80" w:line="288" w:lineRule="auto"/>
      </w:pPr>
      <w:r>
        <w:rPr>
          <w:rFonts w:ascii="Microsoft YaHei" w:hAnsi="Microsoft YaHei" w:eastAsia="微软雅黑"/>
          <w:b/>
          <w:color w:val="000000"/>
          <w:sz w:val="25"/>
        </w:rPr>
        <w:t>5.1 总体架构</w:t>
      </w:r>
    </w:p>
    <w:p>
      <w:pPr>
        <w:spacing w:before="120"/>
        <w:jc w:val="center"/>
      </w:pPr>
      <w:r>
        <w:drawing>
          <wp:inline xmlns:a="http://schemas.openxmlformats.org/drawingml/2006/main" xmlns:pic="http://schemas.openxmlformats.org/drawingml/2006/picture">
            <wp:extent cx="5688000" cy="3555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88000" cy="3555000"/>
                    </a:xfrm>
                    <a:prstGeom prst="rect"/>
                  </pic:spPr>
                </pic:pic>
              </a:graphicData>
            </a:graphic>
          </wp:inline>
        </w:drawing>
      </w:r>
    </w:p>
    <w:p>
      <w:pPr>
        <w:spacing w:after="120"/>
        <w:jc w:val="center"/>
      </w:pPr>
      <w:r>
        <w:rPr>
          <w:rFonts w:ascii="Times New Roman" w:hAnsi="Times New Roman" w:eastAsia="宋体"/>
          <w:b/>
          <w:color w:val="000000"/>
          <w:sz w:val="19"/>
        </w:rPr>
        <w:t>图1 系统总体架构图</w:t>
      </w:r>
    </w:p>
    <w:p>
      <w:pPr>
        <w:spacing w:line="324" w:lineRule="auto" w:after="100"/>
        <w:jc w:val="both"/>
      </w:pPr>
      <w:r>
        <w:rPr>
          <w:rFonts w:ascii="Times New Roman" w:hAnsi="Times New Roman" w:eastAsia="宋体"/>
          <w:b w:val="0"/>
          <w:color w:val="000000"/>
          <w:sz w:val="22"/>
        </w:rPr>
        <w:t>系统分为六层：交互层、服务与接口层、智能体编排层、知识检索层、模型推理层和数据层。交互层面向巡查员；FastAPI 提供统一接口并管理任务；LangGraph 编排研判流程；RAG 知识库提供条款溯源；模型层完成图像理解与文本生成；数据层保存研判记录、上传图片与导出文件。</w:t>
      </w:r>
    </w:p>
    <w:p>
      <w:pPr>
        <w:pStyle w:val="Heading2"/>
        <w:keepNext/>
        <w:spacing w:before="200" w:after="80" w:line="288" w:lineRule="auto"/>
      </w:pPr>
      <w:r>
        <w:rPr>
          <w:rFonts w:ascii="Microsoft YaHei" w:hAnsi="Microsoft YaHei" w:eastAsia="微软雅黑"/>
          <w:b/>
          <w:color w:val="000000"/>
          <w:sz w:val="25"/>
        </w:rPr>
        <w:t>5.2 数据流</w:t>
      </w:r>
    </w:p>
    <w:p>
      <w:pPr>
        <w:spacing w:line="324" w:lineRule="auto" w:after="60"/>
        <w:ind w:left="397" w:hanging="283"/>
      </w:pPr>
      <w:r>
        <w:rPr>
          <w:rFonts w:ascii="Times New Roman" w:hAnsi="Times New Roman" w:eastAsia="宋体"/>
          <w:b w:val="0"/>
          <w:color w:val="000000"/>
          <w:sz w:val="22"/>
        </w:rPr>
        <w:t xml:space="preserve">1.  </w:t>
      </w:r>
      <w:r>
        <w:rPr>
          <w:rFonts w:ascii="Times New Roman" w:hAnsi="Times New Roman" w:eastAsia="宋体"/>
          <w:b w:val="0"/>
          <w:color w:val="000000"/>
          <w:sz w:val="22"/>
        </w:rPr>
        <w:t>前端上传图片和文字，FastAPI 保存文件并创建研判记录。</w:t>
      </w:r>
    </w:p>
    <w:p>
      <w:pPr>
        <w:spacing w:line="324" w:lineRule="auto" w:after="60"/>
        <w:ind w:left="397" w:hanging="283"/>
      </w:pPr>
      <w:r>
        <w:rPr>
          <w:rFonts w:ascii="Times New Roman" w:hAnsi="Times New Roman" w:eastAsia="宋体"/>
          <w:b w:val="0"/>
          <w:color w:val="000000"/>
          <w:sz w:val="22"/>
        </w:rPr>
        <w:t xml:space="preserve">2.  </w:t>
      </w:r>
      <w:r>
        <w:rPr>
          <w:rFonts w:ascii="Times New Roman" w:hAnsi="Times New Roman" w:eastAsia="宋体"/>
          <w:b w:val="0"/>
          <w:color w:val="000000"/>
          <w:sz w:val="22"/>
        </w:rPr>
        <w:t>LangGraph 调用视觉模型，得到结构化隐患描述。</w:t>
      </w:r>
    </w:p>
    <w:p>
      <w:pPr>
        <w:spacing w:line="324" w:lineRule="auto" w:after="60"/>
        <w:ind w:left="397" w:hanging="283"/>
      </w:pPr>
      <w:r>
        <w:rPr>
          <w:rFonts w:ascii="Times New Roman" w:hAnsi="Times New Roman" w:eastAsia="宋体"/>
          <w:b w:val="0"/>
          <w:color w:val="000000"/>
          <w:sz w:val="22"/>
        </w:rPr>
        <w:t xml:space="preserve">3.  </w:t>
      </w:r>
      <w:r>
        <w:rPr>
          <w:rFonts w:ascii="Times New Roman" w:hAnsi="Times New Roman" w:eastAsia="宋体"/>
          <w:b w:val="0"/>
          <w:color w:val="000000"/>
          <w:sz w:val="22"/>
        </w:rPr>
        <w:t>信息充分性检查决定继续或追问。</w:t>
      </w:r>
    </w:p>
    <w:p>
      <w:pPr>
        <w:spacing w:line="324" w:lineRule="auto" w:after="60"/>
        <w:ind w:left="397" w:hanging="283"/>
      </w:pPr>
      <w:r>
        <w:rPr>
          <w:rFonts w:ascii="Times New Roman" w:hAnsi="Times New Roman" w:eastAsia="宋体"/>
          <w:b w:val="0"/>
          <w:color w:val="000000"/>
          <w:sz w:val="22"/>
        </w:rPr>
        <w:t xml:space="preserve">4.  </w:t>
      </w:r>
      <w:r>
        <w:rPr>
          <w:rFonts w:ascii="Times New Roman" w:hAnsi="Times New Roman" w:eastAsia="宋体"/>
          <w:b w:val="0"/>
          <w:color w:val="000000"/>
          <w:sz w:val="22"/>
        </w:rPr>
        <w:t>按场景过滤并检索知识库，重排序得到 Top 5 条款。</w:t>
      </w:r>
    </w:p>
    <w:p>
      <w:pPr>
        <w:spacing w:line="324" w:lineRule="auto" w:after="60"/>
        <w:ind w:left="397" w:hanging="283"/>
      </w:pPr>
      <w:r>
        <w:rPr>
          <w:rFonts w:ascii="Times New Roman" w:hAnsi="Times New Roman" w:eastAsia="宋体"/>
          <w:b w:val="0"/>
          <w:color w:val="000000"/>
          <w:sz w:val="22"/>
        </w:rPr>
        <w:t xml:space="preserve">5.  </w:t>
      </w:r>
      <w:r>
        <w:rPr>
          <w:rFonts w:ascii="Times New Roman" w:hAnsi="Times New Roman" w:eastAsia="宋体"/>
          <w:b w:val="0"/>
          <w:color w:val="000000"/>
          <w:sz w:val="22"/>
        </w:rPr>
        <w:t>规则引擎与 LLM 联合完成风险分级。</w:t>
      </w:r>
    </w:p>
    <w:p>
      <w:pPr>
        <w:spacing w:line="324" w:lineRule="auto" w:after="60"/>
        <w:ind w:left="397" w:hanging="283"/>
      </w:pPr>
      <w:r>
        <w:rPr>
          <w:rFonts w:ascii="Times New Roman" w:hAnsi="Times New Roman" w:eastAsia="宋体"/>
          <w:b w:val="0"/>
          <w:color w:val="000000"/>
          <w:sz w:val="22"/>
        </w:rPr>
        <w:t xml:space="preserve">6.  </w:t>
      </w:r>
      <w:r>
        <w:rPr>
          <w:rFonts w:ascii="Times New Roman" w:hAnsi="Times New Roman" w:eastAsia="宋体"/>
          <w:b w:val="0"/>
          <w:color w:val="000000"/>
          <w:sz w:val="22"/>
        </w:rPr>
        <w:t>证据检查通过后生成处置方案和标准文书。</w:t>
      </w:r>
    </w:p>
    <w:p>
      <w:pPr>
        <w:spacing w:line="324" w:lineRule="auto" w:after="60"/>
        <w:ind w:left="397" w:hanging="283"/>
      </w:pPr>
      <w:r>
        <w:rPr>
          <w:rFonts w:ascii="Times New Roman" w:hAnsi="Times New Roman" w:eastAsia="宋体"/>
          <w:b w:val="0"/>
          <w:color w:val="000000"/>
          <w:sz w:val="22"/>
        </w:rPr>
        <w:t xml:space="preserve">7.  </w:t>
      </w:r>
      <w:r>
        <w:rPr>
          <w:rFonts w:ascii="Times New Roman" w:hAnsi="Times New Roman" w:eastAsia="宋体"/>
          <w:b w:val="0"/>
          <w:color w:val="000000"/>
          <w:sz w:val="22"/>
        </w:rPr>
        <w:t>结果保存历史记录，前端展示证据链。</w:t>
      </w:r>
    </w:p>
    <w:p>
      <w:pPr>
        <w:pStyle w:val="Heading2"/>
        <w:keepNext/>
        <w:spacing w:before="200" w:after="80" w:line="288" w:lineRule="auto"/>
      </w:pPr>
      <w:r>
        <w:rPr>
          <w:rFonts w:ascii="Microsoft YaHei" w:hAnsi="Microsoft YaHei" w:eastAsia="微软雅黑"/>
          <w:b/>
          <w:color w:val="000000"/>
          <w:sz w:val="25"/>
        </w:rPr>
        <w:t>5.3 项目目录结构</w:t>
      </w:r>
    </w:p>
    <w:tbl>
      <w:tblPr>
        <w:tblW w:type="auto" w:w="0"/>
        <w:jc w:val="center"/>
        <w:tblLayout w:type="fixed"/>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CellMar>
          <w:top w:w="60" w:type="dxa"/>
          <w:left w:w="110" w:type="dxa"/>
          <w:bottom w:w="60" w:type="dxa"/>
          <w:right w:w="110" w:type="dxa"/>
        </w:tblCellMar>
        <w:tblLayout w:type="fixed"/>
      </w:tblPr>
      <w:tblGrid>
        <w:gridCol w:w="9184"/>
      </w:tblGrid>
      <w:tr>
        <w:tc>
          <w:tcPr>
            <w:tcW w:type="dxa" w:w="9184"/>
            <w:shd w:val="clear" w:color="auto" w:fill="F5F5F5"/>
          </w:tcPr>
          <w:p>
            <w:pPr>
              <w:spacing w:line="269" w:lineRule="auto" w:before="0" w:after="0"/>
            </w:pPr>
            <w:r>
              <w:rPr>
                <w:rFonts w:ascii="Consolas" w:hAnsi="Consolas" w:eastAsia="微软雅黑"/>
                <w:b w:val="0"/>
                <w:color w:val="000000"/>
                <w:sz w:val="17"/>
              </w:rPr>
              <w:t>MultiModel-Safety-Hazard-Agent/</w:t>
            </w:r>
          </w:p>
          <w:p>
            <w:pPr>
              <w:spacing w:line="269" w:lineRule="auto" w:before="0" w:after="0"/>
            </w:pPr>
            <w:r>
              <w:rPr>
                <w:rFonts w:ascii="Consolas" w:hAnsi="Consolas" w:eastAsia="微软雅黑"/>
                <w:b w:val="0"/>
                <w:color w:val="000000"/>
                <w:sz w:val="17"/>
              </w:rPr>
              <w:t xml:space="preserve">    backend/</w:t>
            </w:r>
          </w:p>
          <w:p>
            <w:pPr>
              <w:spacing w:line="269" w:lineRule="auto" w:before="0" w:after="0"/>
            </w:pPr>
            <w:r>
              <w:rPr>
                <w:rFonts w:ascii="Consolas" w:hAnsi="Consolas" w:eastAsia="微软雅黑"/>
                <w:b w:val="0"/>
                <w:color w:val="000000"/>
                <w:sz w:val="17"/>
              </w:rPr>
              <w:t xml:space="preserve">        app/</w:t>
            </w:r>
          </w:p>
          <w:p>
            <w:pPr>
              <w:spacing w:line="269" w:lineRule="auto" w:before="0" w:after="0"/>
            </w:pPr>
            <w:r>
              <w:rPr>
                <w:rFonts w:ascii="Consolas" w:hAnsi="Consolas" w:eastAsia="微软雅黑"/>
                <w:b w:val="0"/>
                <w:color w:val="000000"/>
                <w:sz w:val="17"/>
              </w:rPr>
              <w:t xml:space="preserve">            api/        # FastAPI 路由</w:t>
            </w:r>
          </w:p>
          <w:p>
            <w:pPr>
              <w:spacing w:line="269" w:lineRule="auto" w:before="0" w:after="0"/>
            </w:pPr>
            <w:r>
              <w:rPr>
                <w:rFonts w:ascii="Consolas" w:hAnsi="Consolas" w:eastAsia="微软雅黑"/>
                <w:b w:val="0"/>
                <w:color w:val="000000"/>
                <w:sz w:val="17"/>
              </w:rPr>
              <w:t xml:space="preserve">            core/       # 配置、安全、日志</w:t>
            </w:r>
          </w:p>
          <w:p>
            <w:pPr>
              <w:spacing w:line="269" w:lineRule="auto" w:before="0" w:after="0"/>
            </w:pPr>
            <w:r>
              <w:rPr>
                <w:rFonts w:ascii="Consolas" w:hAnsi="Consolas" w:eastAsia="微软雅黑"/>
                <w:b w:val="0"/>
                <w:color w:val="000000"/>
                <w:sz w:val="17"/>
              </w:rPr>
              <w:t xml:space="preserve">            models/     # SQLAlchemy 模型</w:t>
            </w:r>
          </w:p>
          <w:p>
            <w:pPr>
              <w:spacing w:line="269" w:lineRule="auto" w:before="0" w:after="0"/>
            </w:pPr>
            <w:r>
              <w:rPr>
                <w:rFonts w:ascii="Consolas" w:hAnsi="Consolas" w:eastAsia="微软雅黑"/>
                <w:b w:val="0"/>
                <w:color w:val="000000"/>
                <w:sz w:val="17"/>
              </w:rPr>
              <w:t xml:space="preserve">            schemas/    # Pydantic 输入输出</w:t>
            </w:r>
          </w:p>
          <w:p>
            <w:pPr>
              <w:spacing w:line="269" w:lineRule="auto" w:before="0" w:after="0"/>
            </w:pPr>
            <w:r>
              <w:rPr>
                <w:rFonts w:ascii="Consolas" w:hAnsi="Consolas" w:eastAsia="微软雅黑"/>
                <w:b w:val="0"/>
                <w:color w:val="000000"/>
                <w:sz w:val="17"/>
              </w:rPr>
              <w:t xml:space="preserve">            services/   # vision、rag、agent、report</w:t>
            </w:r>
          </w:p>
          <w:p>
            <w:pPr>
              <w:spacing w:line="269" w:lineRule="auto" w:before="0" w:after="0"/>
            </w:pPr>
            <w:r>
              <w:rPr>
                <w:rFonts w:ascii="Consolas" w:hAnsi="Consolas" w:eastAsia="微软雅黑"/>
                <w:b w:val="0"/>
                <w:color w:val="000000"/>
                <w:sz w:val="17"/>
              </w:rPr>
              <w:t xml:space="preserve">            main.py</w:t>
            </w:r>
          </w:p>
          <w:p>
            <w:pPr>
              <w:spacing w:line="269" w:lineRule="auto" w:before="0" w:after="0"/>
            </w:pPr>
            <w:r>
              <w:rPr>
                <w:rFonts w:ascii="Consolas" w:hAnsi="Consolas" w:eastAsia="微软雅黑"/>
                <w:b w:val="0"/>
                <w:color w:val="000000"/>
                <w:sz w:val="17"/>
              </w:rPr>
              <w:t xml:space="preserve">        data/           # 知识文档、评测集</w:t>
            </w:r>
          </w:p>
          <w:p>
            <w:pPr>
              <w:spacing w:line="269" w:lineRule="auto" w:before="0" w:after="0"/>
            </w:pPr>
            <w:r>
              <w:rPr>
                <w:rFonts w:ascii="Consolas" w:hAnsi="Consolas" w:eastAsia="微软雅黑"/>
                <w:b w:val="0"/>
                <w:color w:val="000000"/>
                <w:sz w:val="17"/>
              </w:rPr>
              <w:t xml:space="preserve">        tests/</w:t>
            </w:r>
          </w:p>
          <w:p>
            <w:pPr>
              <w:spacing w:line="269" w:lineRule="auto" w:before="0" w:after="0"/>
            </w:pPr>
            <w:r>
              <w:rPr>
                <w:rFonts w:ascii="Consolas" w:hAnsi="Consolas" w:eastAsia="微软雅黑"/>
                <w:b w:val="0"/>
                <w:color w:val="000000"/>
                <w:sz w:val="17"/>
              </w:rPr>
              <w:t xml:space="preserve">        pyproject.toml</w:t>
            </w:r>
          </w:p>
          <w:p>
            <w:pPr>
              <w:spacing w:line="269" w:lineRule="auto" w:before="0" w:after="0"/>
            </w:pPr>
            <w:r>
              <w:rPr>
                <w:rFonts w:ascii="Consolas" w:hAnsi="Consolas" w:eastAsia="微软雅黑"/>
                <w:b w:val="0"/>
                <w:color w:val="000000"/>
                <w:sz w:val="17"/>
              </w:rPr>
              <w:t xml:space="preserve">    frontend/</w:t>
            </w:r>
          </w:p>
          <w:p>
            <w:pPr>
              <w:spacing w:line="269" w:lineRule="auto" w:before="0" w:after="0"/>
            </w:pPr>
            <w:r>
              <w:rPr>
                <w:rFonts w:ascii="Consolas" w:hAnsi="Consolas" w:eastAsia="微软雅黑"/>
                <w:b w:val="0"/>
                <w:color w:val="000000"/>
                <w:sz w:val="17"/>
              </w:rPr>
              <w:t xml:space="preserve">        src/            # Vue 3 页面与组件</w:t>
            </w:r>
          </w:p>
          <w:p>
            <w:pPr>
              <w:spacing w:line="269" w:lineRule="auto" w:before="0" w:after="0"/>
            </w:pPr>
            <w:r>
              <w:rPr>
                <w:rFonts w:ascii="Consolas" w:hAnsi="Consolas" w:eastAsia="微软雅黑"/>
                <w:b w:val="0"/>
                <w:color w:val="000000"/>
                <w:sz w:val="17"/>
              </w:rPr>
              <w:t xml:space="preserve">        package.json</w:t>
            </w:r>
          </w:p>
          <w:p>
            <w:pPr>
              <w:spacing w:line="269" w:lineRule="auto" w:before="0" w:after="0"/>
            </w:pPr>
            <w:r>
              <w:rPr>
                <w:rFonts w:ascii="Consolas" w:hAnsi="Consolas" w:eastAsia="微软雅黑"/>
                <w:b w:val="0"/>
                <w:color w:val="000000"/>
                <w:sz w:val="17"/>
              </w:rPr>
              <w:t xml:space="preserve">    scripts/            # 建库、评测、数据生成</w:t>
            </w:r>
          </w:p>
          <w:p>
            <w:pPr>
              <w:spacing w:line="269" w:lineRule="auto" w:before="0" w:after="0"/>
            </w:pPr>
            <w:r>
              <w:rPr>
                <w:rFonts w:ascii="Consolas" w:hAnsi="Consolas" w:eastAsia="微软雅黑"/>
                <w:b w:val="0"/>
                <w:color w:val="000000"/>
                <w:sz w:val="17"/>
              </w:rPr>
              <w:t xml:space="preserve">    docs/               # 计划书、架构图、演示脚本</w:t>
            </w:r>
          </w:p>
          <w:p>
            <w:pPr>
              <w:spacing w:line="269" w:lineRule="auto" w:before="0" w:after="0"/>
            </w:pPr>
            <w:r>
              <w:rPr>
                <w:rFonts w:ascii="Consolas" w:hAnsi="Consolas" w:eastAsia="微软雅黑"/>
                <w:b w:val="0"/>
                <w:color w:val="000000"/>
                <w:sz w:val="17"/>
              </w:rPr>
              <w:t xml:space="preserve">    docker-compose.yml</w:t>
            </w:r>
          </w:p>
        </w:tc>
      </w:tr>
    </w:tbl>
    <w:p>
      <w:pPr>
        <w:spacing w:line="324" w:lineRule="auto" w:after="40"/>
        <w:jc w:val="both"/>
      </w:pPr>
    </w:p>
    <w:p>
      <w:pPr>
        <w:pStyle w:val="Heading2"/>
        <w:keepNext/>
        <w:spacing w:before="200" w:after="80" w:line="288" w:lineRule="auto"/>
      </w:pPr>
      <w:r>
        <w:rPr>
          <w:rFonts w:ascii="Microsoft YaHei" w:hAnsi="Microsoft YaHei" w:eastAsia="微软雅黑"/>
          <w:b/>
          <w:color w:val="000000"/>
          <w:sz w:val="25"/>
        </w:rPr>
        <w:t>5.4 核心 API 设计</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ayout w:type="fixed"/>
      </w:tblPr>
      <w:tblGrid>
        <w:gridCol w:w="3061"/>
        <w:gridCol w:w="3061"/>
        <w:gridCol w:w="3061"/>
      </w:tblGrid>
      <w:tr>
        <w:trPr>
          <w:tblHeader w:val="true"/>
        </w:trPr>
        <w:tc>
          <w:tcPr>
            <w:tcW w:type="dxa" w:w="1145"/>
            <w:shd w:val="clear" w:color="auto" w:fill="1F4E79"/>
            <w:vAlign w:val="center"/>
          </w:tcPr>
          <w:p>
            <w:pPr>
              <w:spacing w:line="276" w:lineRule="auto" w:before="20" w:after="20"/>
              <w:jc w:val="center"/>
            </w:pPr>
            <w:r>
              <w:rPr>
                <w:rFonts w:ascii="Times New Roman" w:hAnsi="Times New Roman" w:eastAsia="宋体"/>
                <w:b/>
                <w:color w:val="FFFFFF"/>
                <w:sz w:val="19"/>
              </w:rPr>
              <w:t>方法</w:t>
            </w:r>
          </w:p>
        </w:tc>
        <w:tc>
          <w:tcPr>
            <w:tcW w:type="dxa" w:w="5148"/>
            <w:shd w:val="clear" w:color="auto" w:fill="1F4E79"/>
            <w:vAlign w:val="center"/>
          </w:tcPr>
          <w:p>
            <w:pPr>
              <w:spacing w:line="276" w:lineRule="auto" w:before="20" w:after="20"/>
              <w:jc w:val="center"/>
            </w:pPr>
            <w:r>
              <w:rPr>
                <w:rFonts w:ascii="Times New Roman" w:hAnsi="Times New Roman" w:eastAsia="宋体"/>
                <w:b/>
                <w:color w:val="FFFFFF"/>
                <w:sz w:val="19"/>
              </w:rPr>
              <w:t>路径</w:t>
            </w:r>
          </w:p>
        </w:tc>
        <w:tc>
          <w:tcPr>
            <w:tcW w:type="dxa" w:w="2897"/>
            <w:shd w:val="clear" w:color="auto" w:fill="1F4E79"/>
            <w:vAlign w:val="center"/>
          </w:tcPr>
          <w:p>
            <w:pPr>
              <w:spacing w:line="276" w:lineRule="auto" w:before="20" w:after="20"/>
              <w:jc w:val="center"/>
            </w:pPr>
            <w:r>
              <w:rPr>
                <w:rFonts w:ascii="Times New Roman" w:hAnsi="Times New Roman" w:eastAsia="宋体"/>
                <w:b/>
                <w:color w:val="FFFFFF"/>
                <w:sz w:val="19"/>
              </w:rPr>
              <w:t>说明</w:t>
            </w:r>
          </w:p>
        </w:tc>
      </w:tr>
      <w:tr>
        <w:tc>
          <w:tcPr>
            <w:tcW w:type="dxa" w:w="1145"/>
            <w:vAlign w:val="center"/>
          </w:tcPr>
          <w:p>
            <w:pPr>
              <w:spacing w:line="276" w:lineRule="auto" w:before="20" w:after="20"/>
              <w:jc w:val="center"/>
            </w:pPr>
            <w:r>
              <w:rPr>
                <w:rFonts w:ascii="Times New Roman" w:hAnsi="Times New Roman" w:eastAsia="宋体"/>
                <w:b w:val="0"/>
                <w:color w:val="000000"/>
                <w:sz w:val="19"/>
              </w:rPr>
              <w:t>POST</w:t>
            </w:r>
          </w:p>
        </w:tc>
        <w:tc>
          <w:tcPr>
            <w:tcW w:type="dxa" w:w="5148"/>
            <w:vAlign w:val="center"/>
          </w:tcPr>
          <w:p>
            <w:pPr>
              <w:spacing w:line="276" w:lineRule="auto" w:before="20" w:after="20"/>
              <w:jc w:val="left"/>
            </w:pPr>
            <w:r>
              <w:rPr>
                <w:rFonts w:ascii="Times New Roman" w:hAnsi="Times New Roman" w:eastAsia="宋体"/>
                <w:b w:val="0"/>
                <w:color w:val="000000"/>
                <w:sz w:val="19"/>
              </w:rPr>
              <w:t>/api/v1/assessments</w:t>
            </w:r>
          </w:p>
        </w:tc>
        <w:tc>
          <w:tcPr>
            <w:tcW w:type="dxa" w:w="2897"/>
            <w:vAlign w:val="center"/>
          </w:tcPr>
          <w:p>
            <w:pPr>
              <w:spacing w:line="276" w:lineRule="auto" w:before="20" w:after="20"/>
              <w:jc w:val="left"/>
            </w:pPr>
            <w:r>
              <w:rPr>
                <w:rFonts w:ascii="Times New Roman" w:hAnsi="Times New Roman" w:eastAsia="宋体"/>
                <w:b w:val="0"/>
                <w:color w:val="000000"/>
                <w:sz w:val="19"/>
              </w:rPr>
              <w:t>上传照片与描述，创建研判任务</w:t>
            </w:r>
          </w:p>
        </w:tc>
      </w:tr>
      <w:tr>
        <w:tc>
          <w:tcPr>
            <w:tcW w:type="dxa" w:w="1145"/>
            <w:shd w:val="clear" w:color="auto" w:fill="F2F6FA"/>
            <w:vAlign w:val="center"/>
          </w:tcPr>
          <w:p>
            <w:pPr>
              <w:spacing w:line="276" w:lineRule="auto" w:before="20" w:after="20"/>
              <w:jc w:val="center"/>
            </w:pPr>
            <w:r>
              <w:rPr>
                <w:rFonts w:ascii="Times New Roman" w:hAnsi="Times New Roman" w:eastAsia="宋体"/>
                <w:b w:val="0"/>
                <w:color w:val="000000"/>
                <w:sz w:val="19"/>
              </w:rPr>
              <w:t>GET</w:t>
            </w:r>
          </w:p>
        </w:tc>
        <w:tc>
          <w:tcPr>
            <w:tcW w:type="dxa" w:w="5148"/>
            <w:shd w:val="clear" w:color="auto" w:fill="F2F6FA"/>
            <w:vAlign w:val="center"/>
          </w:tcPr>
          <w:p>
            <w:pPr>
              <w:spacing w:line="276" w:lineRule="auto" w:before="20" w:after="20"/>
              <w:jc w:val="left"/>
            </w:pPr>
            <w:r>
              <w:rPr>
                <w:rFonts w:ascii="Times New Roman" w:hAnsi="Times New Roman" w:eastAsia="宋体"/>
                <w:b w:val="0"/>
                <w:color w:val="000000"/>
                <w:sz w:val="19"/>
              </w:rPr>
              <w:t>/api/v1/assessments/{id}</w:t>
            </w:r>
          </w:p>
        </w:tc>
        <w:tc>
          <w:tcPr>
            <w:tcW w:type="dxa" w:w="2897"/>
            <w:shd w:val="clear" w:color="auto" w:fill="F2F6FA"/>
            <w:vAlign w:val="center"/>
          </w:tcPr>
          <w:p>
            <w:pPr>
              <w:spacing w:line="276" w:lineRule="auto" w:before="20" w:after="20"/>
              <w:jc w:val="left"/>
            </w:pPr>
            <w:r>
              <w:rPr>
                <w:rFonts w:ascii="Times New Roman" w:hAnsi="Times New Roman" w:eastAsia="宋体"/>
                <w:b w:val="0"/>
                <w:color w:val="000000"/>
                <w:sz w:val="19"/>
              </w:rPr>
              <w:t>查询研判结果与证据链</w:t>
            </w:r>
          </w:p>
        </w:tc>
      </w:tr>
      <w:tr>
        <w:tc>
          <w:tcPr>
            <w:tcW w:type="dxa" w:w="1145"/>
            <w:vAlign w:val="center"/>
          </w:tcPr>
          <w:p>
            <w:pPr>
              <w:spacing w:line="276" w:lineRule="auto" w:before="20" w:after="20"/>
              <w:jc w:val="center"/>
            </w:pPr>
            <w:r>
              <w:rPr>
                <w:rFonts w:ascii="Times New Roman" w:hAnsi="Times New Roman" w:eastAsia="宋体"/>
                <w:b w:val="0"/>
                <w:color w:val="000000"/>
                <w:sz w:val="19"/>
              </w:rPr>
              <w:t>POST</w:t>
            </w:r>
          </w:p>
        </w:tc>
        <w:tc>
          <w:tcPr>
            <w:tcW w:type="dxa" w:w="5148"/>
            <w:vAlign w:val="center"/>
          </w:tcPr>
          <w:p>
            <w:pPr>
              <w:spacing w:line="276" w:lineRule="auto" w:before="20" w:after="20"/>
              <w:jc w:val="left"/>
            </w:pPr>
            <w:r>
              <w:rPr>
                <w:rFonts w:ascii="Times New Roman" w:hAnsi="Times New Roman" w:eastAsia="宋体"/>
                <w:b w:val="0"/>
                <w:color w:val="000000"/>
                <w:sz w:val="19"/>
              </w:rPr>
              <w:t>/api/v1/assessments/{id}/followup</w:t>
            </w:r>
          </w:p>
        </w:tc>
        <w:tc>
          <w:tcPr>
            <w:tcW w:type="dxa" w:w="2897"/>
            <w:vAlign w:val="center"/>
          </w:tcPr>
          <w:p>
            <w:pPr>
              <w:spacing w:line="276" w:lineRule="auto" w:before="20" w:after="20"/>
              <w:jc w:val="left"/>
            </w:pPr>
            <w:r>
              <w:rPr>
                <w:rFonts w:ascii="Times New Roman" w:hAnsi="Times New Roman" w:eastAsia="宋体"/>
                <w:b w:val="0"/>
                <w:color w:val="000000"/>
                <w:sz w:val="19"/>
              </w:rPr>
              <w:t>提交追问回答，继续研判</w:t>
            </w:r>
          </w:p>
        </w:tc>
      </w:tr>
      <w:tr>
        <w:tc>
          <w:tcPr>
            <w:tcW w:type="dxa" w:w="1145"/>
            <w:shd w:val="clear" w:color="auto" w:fill="F2F6FA"/>
            <w:vAlign w:val="center"/>
          </w:tcPr>
          <w:p>
            <w:pPr>
              <w:spacing w:line="276" w:lineRule="auto" w:before="20" w:after="20"/>
              <w:jc w:val="center"/>
            </w:pPr>
            <w:r>
              <w:rPr>
                <w:rFonts w:ascii="Times New Roman" w:hAnsi="Times New Roman" w:eastAsia="宋体"/>
                <w:b w:val="0"/>
                <w:color w:val="000000"/>
                <w:sz w:val="19"/>
              </w:rPr>
              <w:t>POST</w:t>
            </w:r>
          </w:p>
        </w:tc>
        <w:tc>
          <w:tcPr>
            <w:tcW w:type="dxa" w:w="5148"/>
            <w:shd w:val="clear" w:color="auto" w:fill="F2F6FA"/>
            <w:vAlign w:val="center"/>
          </w:tcPr>
          <w:p>
            <w:pPr>
              <w:spacing w:line="276" w:lineRule="auto" w:before="20" w:after="20"/>
              <w:jc w:val="left"/>
            </w:pPr>
            <w:r>
              <w:rPr>
                <w:rFonts w:ascii="Times New Roman" w:hAnsi="Times New Roman" w:eastAsia="宋体"/>
                <w:b w:val="0"/>
                <w:color w:val="000000"/>
                <w:sz w:val="19"/>
              </w:rPr>
              <w:t>/api/v1/assessments/{id}/confirm</w:t>
            </w:r>
          </w:p>
        </w:tc>
        <w:tc>
          <w:tcPr>
            <w:tcW w:type="dxa" w:w="2897"/>
            <w:shd w:val="clear" w:color="auto" w:fill="F2F6FA"/>
            <w:vAlign w:val="center"/>
          </w:tcPr>
          <w:p>
            <w:pPr>
              <w:spacing w:line="276" w:lineRule="auto" w:before="20" w:after="20"/>
              <w:jc w:val="left"/>
            </w:pPr>
            <w:r>
              <w:rPr>
                <w:rFonts w:ascii="Times New Roman" w:hAnsi="Times New Roman" w:eastAsia="宋体"/>
                <w:b w:val="0"/>
                <w:color w:val="000000"/>
                <w:sz w:val="19"/>
              </w:rPr>
              <w:t>人工确认或修改后定稿</w:t>
            </w:r>
          </w:p>
        </w:tc>
      </w:tr>
      <w:tr>
        <w:tc>
          <w:tcPr>
            <w:tcW w:type="dxa" w:w="1145"/>
            <w:vAlign w:val="center"/>
          </w:tcPr>
          <w:p>
            <w:pPr>
              <w:spacing w:line="276" w:lineRule="auto" w:before="20" w:after="20"/>
              <w:jc w:val="center"/>
            </w:pPr>
            <w:r>
              <w:rPr>
                <w:rFonts w:ascii="Times New Roman" w:hAnsi="Times New Roman" w:eastAsia="宋体"/>
                <w:b w:val="0"/>
                <w:color w:val="000000"/>
                <w:sz w:val="19"/>
              </w:rPr>
              <w:t>GET</w:t>
            </w:r>
          </w:p>
        </w:tc>
        <w:tc>
          <w:tcPr>
            <w:tcW w:type="dxa" w:w="5148"/>
            <w:vAlign w:val="center"/>
          </w:tcPr>
          <w:p>
            <w:pPr>
              <w:spacing w:line="276" w:lineRule="auto" w:before="20" w:after="20"/>
              <w:jc w:val="left"/>
            </w:pPr>
            <w:r>
              <w:rPr>
                <w:rFonts w:ascii="Times New Roman" w:hAnsi="Times New Roman" w:eastAsia="宋体"/>
                <w:b w:val="0"/>
                <w:color w:val="000000"/>
                <w:sz w:val="19"/>
              </w:rPr>
              <w:t>/api/v1/assessments</w:t>
            </w:r>
          </w:p>
        </w:tc>
        <w:tc>
          <w:tcPr>
            <w:tcW w:type="dxa" w:w="2897"/>
            <w:vAlign w:val="center"/>
          </w:tcPr>
          <w:p>
            <w:pPr>
              <w:spacing w:line="276" w:lineRule="auto" w:before="20" w:after="20"/>
              <w:jc w:val="left"/>
            </w:pPr>
            <w:r>
              <w:rPr>
                <w:rFonts w:ascii="Times New Roman" w:hAnsi="Times New Roman" w:eastAsia="宋体"/>
                <w:b w:val="0"/>
                <w:color w:val="000000"/>
                <w:sz w:val="19"/>
              </w:rPr>
              <w:t>历史记录与筛选</w:t>
            </w:r>
          </w:p>
        </w:tc>
      </w:tr>
      <w:tr>
        <w:tc>
          <w:tcPr>
            <w:tcW w:type="dxa" w:w="1145"/>
            <w:shd w:val="clear" w:color="auto" w:fill="F2F6FA"/>
            <w:vAlign w:val="center"/>
          </w:tcPr>
          <w:p>
            <w:pPr>
              <w:spacing w:line="276" w:lineRule="auto" w:before="20" w:after="20"/>
              <w:jc w:val="center"/>
            </w:pPr>
            <w:r>
              <w:rPr>
                <w:rFonts w:ascii="Times New Roman" w:hAnsi="Times New Roman" w:eastAsia="宋体"/>
                <w:b w:val="0"/>
                <w:color w:val="000000"/>
                <w:sz w:val="19"/>
              </w:rPr>
              <w:t>GET</w:t>
            </w:r>
          </w:p>
        </w:tc>
        <w:tc>
          <w:tcPr>
            <w:tcW w:type="dxa" w:w="5148"/>
            <w:shd w:val="clear" w:color="auto" w:fill="F2F6FA"/>
            <w:vAlign w:val="center"/>
          </w:tcPr>
          <w:p>
            <w:pPr>
              <w:spacing w:line="276" w:lineRule="auto" w:before="20" w:after="20"/>
              <w:jc w:val="left"/>
            </w:pPr>
            <w:r>
              <w:rPr>
                <w:rFonts w:ascii="Times New Roman" w:hAnsi="Times New Roman" w:eastAsia="宋体"/>
                <w:b w:val="0"/>
                <w:color w:val="000000"/>
                <w:sz w:val="19"/>
              </w:rPr>
              <w:t>/api/v1/assessments/{id}/export</w:t>
            </w:r>
          </w:p>
        </w:tc>
        <w:tc>
          <w:tcPr>
            <w:tcW w:type="dxa" w:w="2897"/>
            <w:shd w:val="clear" w:color="auto" w:fill="F2F6FA"/>
            <w:vAlign w:val="center"/>
          </w:tcPr>
          <w:p>
            <w:pPr>
              <w:spacing w:line="276" w:lineRule="auto" w:before="20" w:after="20"/>
              <w:jc w:val="left"/>
            </w:pPr>
            <w:r>
              <w:rPr>
                <w:rFonts w:ascii="Times New Roman" w:hAnsi="Times New Roman" w:eastAsia="宋体"/>
                <w:b w:val="0"/>
                <w:color w:val="000000"/>
                <w:sz w:val="19"/>
              </w:rPr>
              <w:t>导出工单、台账、简报</w:t>
            </w:r>
          </w:p>
        </w:tc>
      </w:tr>
      <w:tr>
        <w:tc>
          <w:tcPr>
            <w:tcW w:type="dxa" w:w="1145"/>
            <w:vAlign w:val="center"/>
          </w:tcPr>
          <w:p>
            <w:pPr>
              <w:spacing w:line="276" w:lineRule="auto" w:before="20" w:after="20"/>
              <w:jc w:val="center"/>
            </w:pPr>
            <w:r>
              <w:rPr>
                <w:rFonts w:ascii="Times New Roman" w:hAnsi="Times New Roman" w:eastAsia="宋体"/>
                <w:b w:val="0"/>
                <w:color w:val="000000"/>
                <w:sz w:val="19"/>
              </w:rPr>
              <w:t>POST</w:t>
            </w:r>
          </w:p>
        </w:tc>
        <w:tc>
          <w:tcPr>
            <w:tcW w:type="dxa" w:w="5148"/>
            <w:vAlign w:val="center"/>
          </w:tcPr>
          <w:p>
            <w:pPr>
              <w:spacing w:line="276" w:lineRule="auto" w:before="20" w:after="20"/>
              <w:jc w:val="left"/>
            </w:pPr>
            <w:r>
              <w:rPr>
                <w:rFonts w:ascii="Times New Roman" w:hAnsi="Times New Roman" w:eastAsia="宋体"/>
                <w:b w:val="0"/>
                <w:color w:val="000000"/>
                <w:sz w:val="19"/>
              </w:rPr>
              <w:t>/api/v1/knowledge/documents</w:t>
            </w:r>
          </w:p>
        </w:tc>
        <w:tc>
          <w:tcPr>
            <w:tcW w:type="dxa" w:w="2897"/>
            <w:vAlign w:val="center"/>
          </w:tcPr>
          <w:p>
            <w:pPr>
              <w:spacing w:line="276" w:lineRule="auto" w:before="20" w:after="20"/>
              <w:jc w:val="left"/>
            </w:pPr>
            <w:r>
              <w:rPr>
                <w:rFonts w:ascii="Times New Roman" w:hAnsi="Times New Roman" w:eastAsia="宋体"/>
                <w:b w:val="0"/>
                <w:color w:val="000000"/>
                <w:sz w:val="19"/>
              </w:rPr>
              <w:t>管理员上传规范文档</w:t>
            </w:r>
          </w:p>
        </w:tc>
      </w:tr>
      <w:tr>
        <w:tc>
          <w:tcPr>
            <w:tcW w:type="dxa" w:w="1145"/>
            <w:shd w:val="clear" w:color="auto" w:fill="F2F6FA"/>
            <w:vAlign w:val="center"/>
          </w:tcPr>
          <w:p>
            <w:pPr>
              <w:spacing w:line="276" w:lineRule="auto" w:before="20" w:after="20"/>
              <w:jc w:val="center"/>
            </w:pPr>
            <w:r>
              <w:rPr>
                <w:rFonts w:ascii="Times New Roman" w:hAnsi="Times New Roman" w:eastAsia="宋体"/>
                <w:b w:val="0"/>
                <w:color w:val="000000"/>
                <w:sz w:val="19"/>
              </w:rPr>
              <w:t>GET</w:t>
            </w:r>
          </w:p>
        </w:tc>
        <w:tc>
          <w:tcPr>
            <w:tcW w:type="dxa" w:w="5148"/>
            <w:shd w:val="clear" w:color="auto" w:fill="F2F6FA"/>
            <w:vAlign w:val="center"/>
          </w:tcPr>
          <w:p>
            <w:pPr>
              <w:spacing w:line="276" w:lineRule="auto" w:before="20" w:after="20"/>
              <w:jc w:val="left"/>
            </w:pPr>
            <w:r>
              <w:rPr>
                <w:rFonts w:ascii="Times New Roman" w:hAnsi="Times New Roman" w:eastAsia="宋体"/>
                <w:b w:val="0"/>
                <w:color w:val="000000"/>
                <w:sz w:val="19"/>
              </w:rPr>
              <w:t>/api/v1/knowledge/documents/{id}</w:t>
            </w:r>
          </w:p>
        </w:tc>
        <w:tc>
          <w:tcPr>
            <w:tcW w:type="dxa" w:w="2897"/>
            <w:shd w:val="clear" w:color="auto" w:fill="F2F6FA"/>
            <w:vAlign w:val="center"/>
          </w:tcPr>
          <w:p>
            <w:pPr>
              <w:spacing w:line="276" w:lineRule="auto" w:before="20" w:after="20"/>
              <w:jc w:val="left"/>
            </w:pPr>
            <w:r>
              <w:rPr>
                <w:rFonts w:ascii="Times New Roman" w:hAnsi="Times New Roman" w:eastAsia="宋体"/>
                <w:b w:val="0"/>
                <w:color w:val="000000"/>
                <w:sz w:val="19"/>
              </w:rPr>
              <w:t>查看解析预览</w:t>
            </w:r>
          </w:p>
        </w:tc>
      </w:tr>
      <w:tr>
        <w:tc>
          <w:tcPr>
            <w:tcW w:type="dxa" w:w="1145"/>
            <w:vAlign w:val="center"/>
          </w:tcPr>
          <w:p>
            <w:pPr>
              <w:spacing w:line="276" w:lineRule="auto" w:before="20" w:after="20"/>
              <w:jc w:val="center"/>
            </w:pPr>
            <w:r>
              <w:rPr>
                <w:rFonts w:ascii="Times New Roman" w:hAnsi="Times New Roman" w:eastAsia="宋体"/>
                <w:b w:val="0"/>
                <w:color w:val="000000"/>
                <w:sz w:val="19"/>
              </w:rPr>
              <w:t>POST</w:t>
            </w:r>
          </w:p>
        </w:tc>
        <w:tc>
          <w:tcPr>
            <w:tcW w:type="dxa" w:w="5148"/>
            <w:vAlign w:val="center"/>
          </w:tcPr>
          <w:p>
            <w:pPr>
              <w:spacing w:line="276" w:lineRule="auto" w:before="20" w:after="20"/>
              <w:jc w:val="left"/>
            </w:pPr>
            <w:r>
              <w:rPr>
                <w:rFonts w:ascii="Times New Roman" w:hAnsi="Times New Roman" w:eastAsia="宋体"/>
                <w:b w:val="0"/>
                <w:color w:val="000000"/>
                <w:sz w:val="19"/>
              </w:rPr>
              <w:t>/api/v1/knowledge/documents/{id}/publish</w:t>
            </w:r>
          </w:p>
        </w:tc>
        <w:tc>
          <w:tcPr>
            <w:tcW w:type="dxa" w:w="2897"/>
            <w:vAlign w:val="center"/>
          </w:tcPr>
          <w:p>
            <w:pPr>
              <w:spacing w:line="276" w:lineRule="auto" w:before="20" w:after="20"/>
              <w:jc w:val="left"/>
            </w:pPr>
            <w:r>
              <w:rPr>
                <w:rFonts w:ascii="Times New Roman" w:hAnsi="Times New Roman" w:eastAsia="宋体"/>
                <w:b w:val="0"/>
                <w:color w:val="000000"/>
                <w:sz w:val="19"/>
              </w:rPr>
              <w:t>审核后发布入库</w:t>
            </w:r>
          </w:p>
        </w:tc>
      </w:tr>
      <w:tr>
        <w:tc>
          <w:tcPr>
            <w:tcW w:type="dxa" w:w="1145"/>
            <w:shd w:val="clear" w:color="auto" w:fill="F2F6FA"/>
            <w:vAlign w:val="center"/>
          </w:tcPr>
          <w:p>
            <w:pPr>
              <w:spacing w:line="276" w:lineRule="auto" w:before="20" w:after="20"/>
              <w:jc w:val="center"/>
            </w:pPr>
            <w:r>
              <w:rPr>
                <w:rFonts w:ascii="Times New Roman" w:hAnsi="Times New Roman" w:eastAsia="宋体"/>
                <w:b w:val="0"/>
                <w:color w:val="000000"/>
                <w:sz w:val="19"/>
              </w:rPr>
              <w:t>GET</w:t>
            </w:r>
          </w:p>
        </w:tc>
        <w:tc>
          <w:tcPr>
            <w:tcW w:type="dxa" w:w="5148"/>
            <w:shd w:val="clear" w:color="auto" w:fill="F2F6FA"/>
            <w:vAlign w:val="center"/>
          </w:tcPr>
          <w:p>
            <w:pPr>
              <w:spacing w:line="276" w:lineRule="auto" w:before="20" w:after="20"/>
              <w:jc w:val="left"/>
            </w:pPr>
            <w:r>
              <w:rPr>
                <w:rFonts w:ascii="Times New Roman" w:hAnsi="Times New Roman" w:eastAsia="宋体"/>
                <w:b w:val="0"/>
                <w:color w:val="000000"/>
                <w:sz w:val="19"/>
              </w:rPr>
              <w:t>/api/v1/health</w:t>
            </w:r>
          </w:p>
        </w:tc>
        <w:tc>
          <w:tcPr>
            <w:tcW w:type="dxa" w:w="2897"/>
            <w:shd w:val="clear" w:color="auto" w:fill="F2F6FA"/>
            <w:vAlign w:val="center"/>
          </w:tcPr>
          <w:p>
            <w:pPr>
              <w:spacing w:line="276" w:lineRule="auto" w:before="20" w:after="20"/>
              <w:jc w:val="left"/>
            </w:pPr>
            <w:r>
              <w:rPr>
                <w:rFonts w:ascii="Times New Roman" w:hAnsi="Times New Roman" w:eastAsia="宋体"/>
                <w:b w:val="0"/>
                <w:color w:val="000000"/>
                <w:sz w:val="19"/>
              </w:rPr>
              <w:t>健康检查</w:t>
            </w:r>
          </w:p>
        </w:tc>
      </w:tr>
    </w:tbl>
    <w:p>
      <w:pPr>
        <w:spacing w:line="324" w:lineRule="auto" w:after="40"/>
        <w:jc w:val="both"/>
      </w:pPr>
    </w:p>
    <w:p>
      <w:pPr>
        <w:pStyle w:val="Heading1"/>
        <w:keepNext/>
        <w:spacing w:before="280" w:after="120" w:line="288" w:lineRule="auto"/>
      </w:pPr>
      <w:r>
        <w:rPr>
          <w:rFonts w:ascii="Microsoft YaHei" w:hAnsi="Microsoft YaHei" w:eastAsia="微软雅黑"/>
          <w:b/>
          <w:color w:val="000000"/>
          <w:sz w:val="30"/>
        </w:rPr>
        <w:t>六、知识库建设方案</w:t>
      </w:r>
    </w:p>
    <w:p>
      <w:pPr>
        <w:pStyle w:val="Heading2"/>
        <w:keepNext/>
        <w:spacing w:before="200" w:after="80" w:line="288" w:lineRule="auto"/>
      </w:pPr>
      <w:r>
        <w:rPr>
          <w:rFonts w:ascii="Microsoft YaHei" w:hAnsi="Microsoft YaHei" w:eastAsia="微软雅黑"/>
          <w:b/>
          <w:color w:val="000000"/>
          <w:sz w:val="25"/>
        </w:rPr>
        <w:t>6.1 数据来源</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国家法律法规与部门规章：安全生产、消防、森林防火等公开现行有效文本。</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国家或行业标准：与隐患排查、判定和整改相关的现行标准文本。</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重庆地方文件：地方法规、政府通告、应急管理部门公开文件。</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自建演示样本：团队成员自行拍摄并可授权使用的图片与场景说明，不包含他人隐私信息。</w:t>
      </w:r>
    </w:p>
    <w:p>
      <w:pPr>
        <w:spacing w:line="324" w:lineRule="auto" w:after="100"/>
        <w:jc w:val="both"/>
      </w:pPr>
      <w:r>
        <w:rPr>
          <w:rFonts w:ascii="Times New Roman" w:hAnsi="Times New Roman" w:eastAsia="宋体"/>
          <w:b w:val="0"/>
          <w:color w:val="000000"/>
          <w:sz w:val="22"/>
        </w:rPr>
        <w:t>入库前需要人工核对文号、版本和效力。引用结果展示来源名称、条款号、原文和采集日期，避免引用已废止条款。</w:t>
      </w:r>
    </w:p>
    <w:p>
      <w:pPr>
        <w:pStyle w:val="Heading2"/>
        <w:keepNext/>
        <w:spacing w:before="200" w:after="80" w:line="288" w:lineRule="auto"/>
      </w:pPr>
      <w:r>
        <w:rPr>
          <w:rFonts w:ascii="Microsoft YaHei" w:hAnsi="Microsoft YaHei" w:eastAsia="微软雅黑"/>
          <w:b/>
          <w:color w:val="000000"/>
          <w:sz w:val="25"/>
        </w:rPr>
        <w:t>6.2 知识库处理流程</w:t>
      </w:r>
    </w:p>
    <w:p>
      <w:pPr>
        <w:spacing w:line="324" w:lineRule="auto" w:after="60"/>
        <w:ind w:left="397" w:hanging="283"/>
      </w:pPr>
      <w:r>
        <w:rPr>
          <w:rFonts w:ascii="Times New Roman" w:hAnsi="Times New Roman" w:eastAsia="宋体"/>
          <w:b w:val="0"/>
          <w:color w:val="000000"/>
          <w:sz w:val="22"/>
        </w:rPr>
        <w:t xml:space="preserve">1.  </w:t>
      </w:r>
      <w:r>
        <w:rPr>
          <w:rFonts w:ascii="Times New Roman" w:hAnsi="Times New Roman" w:eastAsia="宋体"/>
          <w:b w:val="0"/>
          <w:color w:val="000000"/>
          <w:sz w:val="22"/>
        </w:rPr>
        <w:t>收集：优先从官方发布渠道获取 PDF、Word 或网页原文，保存来源链接。</w:t>
      </w:r>
    </w:p>
    <w:p>
      <w:pPr>
        <w:spacing w:line="324" w:lineRule="auto" w:after="60"/>
        <w:ind w:left="397" w:hanging="283"/>
      </w:pPr>
      <w:r>
        <w:rPr>
          <w:rFonts w:ascii="Times New Roman" w:hAnsi="Times New Roman" w:eastAsia="宋体"/>
          <w:b w:val="0"/>
          <w:color w:val="000000"/>
          <w:sz w:val="22"/>
        </w:rPr>
        <w:t xml:space="preserve">2.  </w:t>
      </w:r>
      <w:r>
        <w:rPr>
          <w:rFonts w:ascii="Times New Roman" w:hAnsi="Times New Roman" w:eastAsia="宋体"/>
          <w:b w:val="0"/>
          <w:color w:val="000000"/>
          <w:sz w:val="22"/>
        </w:rPr>
        <w:t>清洗：去除页眉页脚、水印和无效章节，保留标题层级与条文编号。</w:t>
      </w:r>
    </w:p>
    <w:p>
      <w:pPr>
        <w:spacing w:line="324" w:lineRule="auto" w:after="60"/>
        <w:ind w:left="397" w:hanging="283"/>
      </w:pPr>
      <w:r>
        <w:rPr>
          <w:rFonts w:ascii="Times New Roman" w:hAnsi="Times New Roman" w:eastAsia="宋体"/>
          <w:b w:val="0"/>
          <w:color w:val="000000"/>
          <w:sz w:val="22"/>
        </w:rPr>
        <w:t xml:space="preserve">3.  </w:t>
      </w:r>
      <w:r>
        <w:rPr>
          <w:rFonts w:ascii="Times New Roman" w:hAnsi="Times New Roman" w:eastAsia="宋体"/>
          <w:b w:val="0"/>
          <w:color w:val="000000"/>
          <w:sz w:val="22"/>
        </w:rPr>
        <w:t>切片：按章条与语义边界切片，每片 300 至 500 字，重叠 50 字，记录来源、文号、条款号、版本和采集日期。</w:t>
      </w:r>
    </w:p>
    <w:p>
      <w:pPr>
        <w:spacing w:line="324" w:lineRule="auto" w:after="60"/>
        <w:ind w:left="397" w:hanging="283"/>
      </w:pPr>
      <w:r>
        <w:rPr>
          <w:rFonts w:ascii="Times New Roman" w:hAnsi="Times New Roman" w:eastAsia="宋体"/>
          <w:b w:val="0"/>
          <w:color w:val="000000"/>
          <w:sz w:val="22"/>
        </w:rPr>
        <w:t xml:space="preserve">4.  </w:t>
      </w:r>
      <w:r>
        <w:rPr>
          <w:rFonts w:ascii="Times New Roman" w:hAnsi="Times New Roman" w:eastAsia="宋体"/>
          <w:b w:val="0"/>
          <w:color w:val="000000"/>
          <w:sz w:val="22"/>
        </w:rPr>
        <w:t>向量化：使用 BGE-M3 生成文本向量，同时保留关键词用于 BM25 检索。</w:t>
      </w:r>
    </w:p>
    <w:p>
      <w:pPr>
        <w:spacing w:line="324" w:lineRule="auto" w:after="60"/>
        <w:ind w:left="397" w:hanging="283"/>
      </w:pPr>
      <w:r>
        <w:rPr>
          <w:rFonts w:ascii="Times New Roman" w:hAnsi="Times New Roman" w:eastAsia="宋体"/>
          <w:b w:val="0"/>
          <w:color w:val="000000"/>
          <w:sz w:val="22"/>
        </w:rPr>
        <w:t xml:space="preserve">5.  </w:t>
      </w:r>
      <w:r>
        <w:rPr>
          <w:rFonts w:ascii="Times New Roman" w:hAnsi="Times New Roman" w:eastAsia="宋体"/>
          <w:b w:val="0"/>
          <w:color w:val="000000"/>
          <w:sz w:val="22"/>
        </w:rPr>
        <w:t>入库：FAISS 建立向量索引，SQLite 保存元数据，支持按场景和行政区过滤。</w:t>
      </w:r>
    </w:p>
    <w:p>
      <w:pPr>
        <w:spacing w:line="324" w:lineRule="auto" w:after="60"/>
        <w:ind w:left="397" w:hanging="283"/>
      </w:pPr>
      <w:r>
        <w:rPr>
          <w:rFonts w:ascii="Times New Roman" w:hAnsi="Times New Roman" w:eastAsia="宋体"/>
          <w:b w:val="0"/>
          <w:color w:val="000000"/>
          <w:sz w:val="22"/>
        </w:rPr>
        <w:t xml:space="preserve">6.  </w:t>
      </w:r>
      <w:r>
        <w:rPr>
          <w:rFonts w:ascii="Times New Roman" w:hAnsi="Times New Roman" w:eastAsia="宋体"/>
          <w:b w:val="0"/>
          <w:color w:val="000000"/>
          <w:sz w:val="22"/>
        </w:rPr>
        <w:t>质检：人工抽检三成切片，确认内容正确、可检索、元数据完整。</w:t>
      </w:r>
    </w:p>
    <w:p>
      <w:pPr>
        <w:pStyle w:val="Heading2"/>
        <w:keepNext/>
        <w:spacing w:before="200" w:after="80" w:line="288" w:lineRule="auto"/>
      </w:pPr>
      <w:r>
        <w:rPr>
          <w:rFonts w:ascii="Microsoft YaHei" w:hAnsi="Microsoft YaHei" w:eastAsia="微软雅黑"/>
          <w:b/>
          <w:color w:val="000000"/>
          <w:sz w:val="25"/>
        </w:rPr>
        <w:t>6.3 检索策略</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混合检索：BM25 关键词检索与向量相似度检索并行，合并取 Top 20。</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重排序：使用 bge-reranker 或 LLM 精读，取 Top 5 作为最终依据。</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场景过滤：先按消防、生产、社区、林区标签过滤，再执行检索。</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条款补全：命中条文时返回整条原文，避免截断关键句导致误读。</w:t>
      </w:r>
    </w:p>
    <w:p>
      <w:pPr>
        <w:pStyle w:val="Heading2"/>
        <w:keepNext/>
        <w:spacing w:before="200" w:after="80" w:line="288" w:lineRule="auto"/>
      </w:pPr>
      <w:r>
        <w:rPr>
          <w:rFonts w:ascii="Microsoft YaHei" w:hAnsi="Microsoft YaHei" w:eastAsia="微软雅黑"/>
          <w:b/>
          <w:color w:val="000000"/>
          <w:sz w:val="25"/>
        </w:rPr>
        <w:t>6.4 更新与版本管理</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管理员上传新文档后进入待解析、待审核状态，审核通过后才能发布。</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每个文档保留版本记录；法规更新后旧版本标记为失效，新结论只引用有效版本。</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定期核对采集日期与发布状态，必要时标记失效并补充新版本。</w:t>
      </w:r>
    </w:p>
    <w:p>
      <w:pPr>
        <w:pStyle w:val="Heading1"/>
        <w:keepNext/>
        <w:spacing w:before="280" w:after="120" w:line="288" w:lineRule="auto"/>
      </w:pPr>
      <w:r>
        <w:rPr>
          <w:rFonts w:ascii="Microsoft YaHei" w:hAnsi="Microsoft YaHei" w:eastAsia="微软雅黑"/>
          <w:b/>
          <w:color w:val="000000"/>
          <w:sz w:val="30"/>
        </w:rPr>
        <w:t>七、Agent 与研判设计</w:t>
      </w:r>
    </w:p>
    <w:p>
      <w:pPr>
        <w:pStyle w:val="Heading2"/>
        <w:keepNext/>
        <w:spacing w:before="200" w:after="80" w:line="288" w:lineRule="auto"/>
      </w:pPr>
      <w:r>
        <w:rPr>
          <w:rFonts w:ascii="Microsoft YaHei" w:hAnsi="Microsoft YaHei" w:eastAsia="微软雅黑"/>
          <w:b/>
          <w:color w:val="000000"/>
          <w:sz w:val="25"/>
        </w:rPr>
        <w:t>7.1 Agent 工作流节点</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ayout w:type="fixed"/>
      </w:tblPr>
      <w:tblGrid>
        <w:gridCol w:w="2296"/>
        <w:gridCol w:w="2296"/>
        <w:gridCol w:w="2296"/>
        <w:gridCol w:w="2296"/>
      </w:tblGrid>
      <w:tr>
        <w:trPr>
          <w:tblHeader w:val="true"/>
        </w:trPr>
        <w:tc>
          <w:tcPr>
            <w:tcW w:type="dxa" w:w="1366"/>
            <w:shd w:val="clear" w:color="auto" w:fill="1F4E79"/>
            <w:vAlign w:val="center"/>
          </w:tcPr>
          <w:p>
            <w:pPr>
              <w:spacing w:line="276" w:lineRule="auto" w:before="20" w:after="20"/>
              <w:jc w:val="center"/>
            </w:pPr>
            <w:r>
              <w:rPr>
                <w:rFonts w:ascii="Times New Roman" w:hAnsi="Times New Roman" w:eastAsia="宋体"/>
                <w:b/>
                <w:color w:val="FFFFFF"/>
                <w:sz w:val="19"/>
              </w:rPr>
              <w:t>节点</w:t>
            </w:r>
          </w:p>
        </w:tc>
        <w:tc>
          <w:tcPr>
            <w:tcW w:type="dxa" w:w="1565"/>
            <w:shd w:val="clear" w:color="auto" w:fill="1F4E79"/>
            <w:vAlign w:val="center"/>
          </w:tcPr>
          <w:p>
            <w:pPr>
              <w:spacing w:line="276" w:lineRule="auto" w:before="20" w:after="20"/>
              <w:jc w:val="center"/>
            </w:pPr>
            <w:r>
              <w:rPr>
                <w:rFonts w:ascii="Times New Roman" w:hAnsi="Times New Roman" w:eastAsia="宋体"/>
                <w:b/>
                <w:color w:val="FFFFFF"/>
                <w:sz w:val="19"/>
              </w:rPr>
              <w:t>输入</w:t>
            </w:r>
          </w:p>
        </w:tc>
        <w:tc>
          <w:tcPr>
            <w:tcW w:type="dxa" w:w="3124"/>
            <w:shd w:val="clear" w:color="auto" w:fill="1F4E79"/>
            <w:vAlign w:val="center"/>
          </w:tcPr>
          <w:p>
            <w:pPr>
              <w:spacing w:line="276" w:lineRule="auto" w:before="20" w:after="20"/>
              <w:jc w:val="center"/>
            </w:pPr>
            <w:r>
              <w:rPr>
                <w:rFonts w:ascii="Times New Roman" w:hAnsi="Times New Roman" w:eastAsia="宋体"/>
                <w:b/>
                <w:color w:val="FFFFFF"/>
                <w:sz w:val="19"/>
              </w:rPr>
              <w:t>输出</w:t>
            </w:r>
          </w:p>
        </w:tc>
        <w:tc>
          <w:tcPr>
            <w:tcW w:type="dxa" w:w="3124"/>
            <w:shd w:val="clear" w:color="auto" w:fill="1F4E79"/>
            <w:vAlign w:val="center"/>
          </w:tcPr>
          <w:p>
            <w:pPr>
              <w:spacing w:line="276" w:lineRule="auto" w:before="20" w:after="20"/>
              <w:jc w:val="center"/>
            </w:pPr>
            <w:r>
              <w:rPr>
                <w:rFonts w:ascii="Times New Roman" w:hAnsi="Times New Roman" w:eastAsia="宋体"/>
                <w:b/>
                <w:color w:val="FFFFFF"/>
                <w:sz w:val="19"/>
              </w:rPr>
              <w:t>异常与回退</w:t>
            </w:r>
          </w:p>
        </w:tc>
      </w:tr>
      <w:tr>
        <w:tc>
          <w:tcPr>
            <w:tcW w:type="dxa" w:w="1366"/>
            <w:vAlign w:val="center"/>
          </w:tcPr>
          <w:p>
            <w:pPr>
              <w:spacing w:line="276" w:lineRule="auto" w:before="20" w:after="20"/>
              <w:jc w:val="center"/>
            </w:pPr>
            <w:r>
              <w:rPr>
                <w:rFonts w:ascii="Times New Roman" w:hAnsi="Times New Roman" w:eastAsia="宋体"/>
                <w:b w:val="0"/>
                <w:color w:val="000000"/>
                <w:sz w:val="19"/>
              </w:rPr>
              <w:t>输入解析</w:t>
            </w:r>
          </w:p>
        </w:tc>
        <w:tc>
          <w:tcPr>
            <w:tcW w:type="dxa" w:w="1565"/>
            <w:vAlign w:val="center"/>
          </w:tcPr>
          <w:p>
            <w:pPr>
              <w:spacing w:line="276" w:lineRule="auto" w:before="20" w:after="20"/>
              <w:jc w:val="center"/>
            </w:pPr>
            <w:r>
              <w:rPr>
                <w:rFonts w:ascii="Times New Roman" w:hAnsi="Times New Roman" w:eastAsia="宋体"/>
                <w:b w:val="0"/>
                <w:color w:val="000000"/>
                <w:sz w:val="19"/>
              </w:rPr>
              <w:t>图片与文字</w:t>
            </w:r>
          </w:p>
        </w:tc>
        <w:tc>
          <w:tcPr>
            <w:tcW w:type="dxa" w:w="3124"/>
            <w:vAlign w:val="center"/>
          </w:tcPr>
          <w:p>
            <w:pPr>
              <w:spacing w:line="276" w:lineRule="auto" w:before="20" w:after="20"/>
              <w:jc w:val="left"/>
            </w:pPr>
            <w:r>
              <w:rPr>
                <w:rFonts w:ascii="Times New Roman" w:hAnsi="Times New Roman" w:eastAsia="宋体"/>
                <w:b w:val="0"/>
                <w:color w:val="000000"/>
                <w:sz w:val="19"/>
              </w:rPr>
              <w:t>结构化隐患描述</w:t>
            </w:r>
          </w:p>
        </w:tc>
        <w:tc>
          <w:tcPr>
            <w:tcW w:type="dxa" w:w="3124"/>
            <w:vAlign w:val="center"/>
          </w:tcPr>
          <w:p>
            <w:pPr>
              <w:spacing w:line="276" w:lineRule="auto" w:before="20" w:after="20"/>
              <w:jc w:val="left"/>
            </w:pPr>
            <w:r>
              <w:rPr>
                <w:rFonts w:ascii="Times New Roman" w:hAnsi="Times New Roman" w:eastAsia="宋体"/>
                <w:b w:val="0"/>
                <w:color w:val="000000"/>
                <w:sz w:val="19"/>
              </w:rPr>
              <w:t>解析失败自动重试一次</w:t>
            </w:r>
          </w:p>
        </w:tc>
      </w:tr>
      <w:tr>
        <w:tc>
          <w:tcPr>
            <w:tcW w:type="dxa" w:w="1366"/>
            <w:shd w:val="clear" w:color="auto" w:fill="F2F6FA"/>
            <w:vAlign w:val="center"/>
          </w:tcPr>
          <w:p>
            <w:pPr>
              <w:spacing w:line="276" w:lineRule="auto" w:before="20" w:after="20"/>
              <w:jc w:val="center"/>
            </w:pPr>
            <w:r>
              <w:rPr>
                <w:rFonts w:ascii="Times New Roman" w:hAnsi="Times New Roman" w:eastAsia="宋体"/>
                <w:b w:val="0"/>
                <w:color w:val="000000"/>
                <w:sz w:val="19"/>
              </w:rPr>
              <w:t>充分性检查</w:t>
            </w:r>
          </w:p>
        </w:tc>
        <w:tc>
          <w:tcPr>
            <w:tcW w:type="dxa" w:w="1565"/>
            <w:shd w:val="clear" w:color="auto" w:fill="F2F6FA"/>
            <w:vAlign w:val="center"/>
          </w:tcPr>
          <w:p>
            <w:pPr>
              <w:spacing w:line="276" w:lineRule="auto" w:before="20" w:after="20"/>
              <w:jc w:val="center"/>
            </w:pPr>
            <w:r>
              <w:rPr>
                <w:rFonts w:ascii="Times New Roman" w:hAnsi="Times New Roman" w:eastAsia="宋体"/>
                <w:b w:val="0"/>
                <w:color w:val="000000"/>
                <w:sz w:val="19"/>
              </w:rPr>
              <w:t>结构化描述</w:t>
            </w:r>
          </w:p>
        </w:tc>
        <w:tc>
          <w:tcPr>
            <w:tcW w:type="dxa" w:w="3124"/>
            <w:shd w:val="clear" w:color="auto" w:fill="F2F6FA"/>
            <w:vAlign w:val="center"/>
          </w:tcPr>
          <w:p>
            <w:pPr>
              <w:spacing w:line="276" w:lineRule="auto" w:before="20" w:after="20"/>
              <w:jc w:val="left"/>
            </w:pPr>
            <w:r>
              <w:rPr>
                <w:rFonts w:ascii="Times New Roman" w:hAnsi="Times New Roman" w:eastAsia="宋体"/>
                <w:b w:val="0"/>
                <w:color w:val="000000"/>
                <w:sz w:val="19"/>
              </w:rPr>
              <w:t>通过或追问问题清单</w:t>
            </w:r>
          </w:p>
        </w:tc>
        <w:tc>
          <w:tcPr>
            <w:tcW w:type="dxa" w:w="3124"/>
            <w:shd w:val="clear" w:color="auto" w:fill="F2F6FA"/>
            <w:vAlign w:val="center"/>
          </w:tcPr>
          <w:p>
            <w:pPr>
              <w:spacing w:line="276" w:lineRule="auto" w:before="20" w:after="20"/>
              <w:jc w:val="left"/>
            </w:pPr>
            <w:r>
              <w:rPr>
                <w:rFonts w:ascii="Times New Roman" w:hAnsi="Times New Roman" w:eastAsia="宋体"/>
                <w:b w:val="0"/>
                <w:color w:val="000000"/>
                <w:sz w:val="19"/>
              </w:rPr>
              <w:t>信息不足时追问，最多两轮</w:t>
            </w:r>
          </w:p>
        </w:tc>
      </w:tr>
      <w:tr>
        <w:tc>
          <w:tcPr>
            <w:tcW w:type="dxa" w:w="1366"/>
            <w:vAlign w:val="center"/>
          </w:tcPr>
          <w:p>
            <w:pPr>
              <w:spacing w:line="276" w:lineRule="auto" w:before="20" w:after="20"/>
              <w:jc w:val="center"/>
            </w:pPr>
            <w:r>
              <w:rPr>
                <w:rFonts w:ascii="Times New Roman" w:hAnsi="Times New Roman" w:eastAsia="宋体"/>
                <w:b w:val="0"/>
                <w:color w:val="000000"/>
                <w:sz w:val="19"/>
              </w:rPr>
              <w:t>知识检索</w:t>
            </w:r>
          </w:p>
        </w:tc>
        <w:tc>
          <w:tcPr>
            <w:tcW w:type="dxa" w:w="1565"/>
            <w:vAlign w:val="center"/>
          </w:tcPr>
          <w:p>
            <w:pPr>
              <w:spacing w:line="276" w:lineRule="auto" w:before="20" w:after="20"/>
              <w:jc w:val="center"/>
            </w:pPr>
            <w:r>
              <w:rPr>
                <w:rFonts w:ascii="Times New Roman" w:hAnsi="Times New Roman" w:eastAsia="宋体"/>
                <w:b w:val="0"/>
                <w:color w:val="000000"/>
                <w:sz w:val="19"/>
              </w:rPr>
              <w:t>补充后的描述</w:t>
            </w:r>
          </w:p>
        </w:tc>
        <w:tc>
          <w:tcPr>
            <w:tcW w:type="dxa" w:w="3124"/>
            <w:vAlign w:val="center"/>
          </w:tcPr>
          <w:p>
            <w:pPr>
              <w:spacing w:line="276" w:lineRule="auto" w:before="20" w:after="20"/>
              <w:jc w:val="left"/>
            </w:pPr>
            <w:r>
              <w:rPr>
                <w:rFonts w:ascii="Times New Roman" w:hAnsi="Times New Roman" w:eastAsia="宋体"/>
                <w:b w:val="0"/>
                <w:color w:val="000000"/>
                <w:sz w:val="19"/>
              </w:rPr>
              <w:t>Top 5 条款片段与元数据</w:t>
            </w:r>
          </w:p>
        </w:tc>
        <w:tc>
          <w:tcPr>
            <w:tcW w:type="dxa" w:w="3124"/>
            <w:vAlign w:val="center"/>
          </w:tcPr>
          <w:p>
            <w:pPr>
              <w:spacing w:line="276" w:lineRule="auto" w:before="20" w:after="20"/>
              <w:jc w:val="left"/>
            </w:pPr>
            <w:r>
              <w:rPr>
                <w:rFonts w:ascii="Times New Roman" w:hAnsi="Times New Roman" w:eastAsia="宋体"/>
                <w:b w:val="0"/>
                <w:color w:val="000000"/>
                <w:sz w:val="19"/>
              </w:rPr>
              <w:t>无结果时降低置信度并提示补充</w:t>
            </w:r>
          </w:p>
        </w:tc>
      </w:tr>
      <w:tr>
        <w:tc>
          <w:tcPr>
            <w:tcW w:type="dxa" w:w="1366"/>
            <w:shd w:val="clear" w:color="auto" w:fill="F2F6FA"/>
            <w:vAlign w:val="center"/>
          </w:tcPr>
          <w:p>
            <w:pPr>
              <w:spacing w:line="276" w:lineRule="auto" w:before="20" w:after="20"/>
              <w:jc w:val="center"/>
            </w:pPr>
            <w:r>
              <w:rPr>
                <w:rFonts w:ascii="Times New Roman" w:hAnsi="Times New Roman" w:eastAsia="宋体"/>
                <w:b w:val="0"/>
                <w:color w:val="000000"/>
                <w:sz w:val="19"/>
              </w:rPr>
              <w:t>风险研判</w:t>
            </w:r>
          </w:p>
        </w:tc>
        <w:tc>
          <w:tcPr>
            <w:tcW w:type="dxa" w:w="1565"/>
            <w:shd w:val="clear" w:color="auto" w:fill="F2F6FA"/>
            <w:vAlign w:val="center"/>
          </w:tcPr>
          <w:p>
            <w:pPr>
              <w:spacing w:line="276" w:lineRule="auto" w:before="20" w:after="20"/>
              <w:jc w:val="center"/>
            </w:pPr>
            <w:r>
              <w:rPr>
                <w:rFonts w:ascii="Times New Roman" w:hAnsi="Times New Roman" w:eastAsia="宋体"/>
                <w:b w:val="0"/>
                <w:color w:val="000000"/>
                <w:sz w:val="19"/>
              </w:rPr>
              <w:t>条款与规则库</w:t>
            </w:r>
          </w:p>
        </w:tc>
        <w:tc>
          <w:tcPr>
            <w:tcW w:type="dxa" w:w="3124"/>
            <w:shd w:val="clear" w:color="auto" w:fill="F2F6FA"/>
            <w:vAlign w:val="center"/>
          </w:tcPr>
          <w:p>
            <w:pPr>
              <w:spacing w:line="276" w:lineRule="auto" w:before="20" w:after="20"/>
              <w:jc w:val="left"/>
            </w:pPr>
            <w:r>
              <w:rPr>
                <w:rFonts w:ascii="Times New Roman" w:hAnsi="Times New Roman" w:eastAsia="宋体"/>
                <w:b w:val="0"/>
                <w:color w:val="000000"/>
                <w:sz w:val="19"/>
              </w:rPr>
              <w:t>隐患类别、等级、依据、置信度</w:t>
            </w:r>
          </w:p>
        </w:tc>
        <w:tc>
          <w:tcPr>
            <w:tcW w:type="dxa" w:w="3124"/>
            <w:shd w:val="clear" w:color="auto" w:fill="F2F6FA"/>
            <w:vAlign w:val="center"/>
          </w:tcPr>
          <w:p>
            <w:pPr>
              <w:spacing w:line="276" w:lineRule="auto" w:before="20" w:after="20"/>
              <w:jc w:val="left"/>
            </w:pPr>
            <w:r>
              <w:rPr>
                <w:rFonts w:ascii="Times New Roman" w:hAnsi="Times New Roman" w:eastAsia="宋体"/>
                <w:b w:val="0"/>
                <w:color w:val="000000"/>
                <w:sz w:val="19"/>
              </w:rPr>
              <w:t>规则与模型不一致时取低置信度</w:t>
            </w:r>
          </w:p>
        </w:tc>
      </w:tr>
      <w:tr>
        <w:tc>
          <w:tcPr>
            <w:tcW w:type="dxa" w:w="1366"/>
            <w:vAlign w:val="center"/>
          </w:tcPr>
          <w:p>
            <w:pPr>
              <w:spacing w:line="276" w:lineRule="auto" w:before="20" w:after="20"/>
              <w:jc w:val="center"/>
            </w:pPr>
            <w:r>
              <w:rPr>
                <w:rFonts w:ascii="Times New Roman" w:hAnsi="Times New Roman" w:eastAsia="宋体"/>
                <w:b w:val="0"/>
                <w:color w:val="000000"/>
                <w:sz w:val="19"/>
              </w:rPr>
              <w:t>证据检查</w:t>
            </w:r>
          </w:p>
        </w:tc>
        <w:tc>
          <w:tcPr>
            <w:tcW w:type="dxa" w:w="1565"/>
            <w:vAlign w:val="center"/>
          </w:tcPr>
          <w:p>
            <w:pPr>
              <w:spacing w:line="276" w:lineRule="auto" w:before="20" w:after="20"/>
              <w:jc w:val="center"/>
            </w:pPr>
            <w:r>
              <w:rPr>
                <w:rFonts w:ascii="Times New Roman" w:hAnsi="Times New Roman" w:eastAsia="宋体"/>
                <w:b w:val="0"/>
                <w:color w:val="000000"/>
                <w:sz w:val="19"/>
              </w:rPr>
              <w:t>生成草案</w:t>
            </w:r>
          </w:p>
        </w:tc>
        <w:tc>
          <w:tcPr>
            <w:tcW w:type="dxa" w:w="3124"/>
            <w:vAlign w:val="center"/>
          </w:tcPr>
          <w:p>
            <w:pPr>
              <w:spacing w:line="276" w:lineRule="auto" w:before="20" w:after="20"/>
              <w:jc w:val="left"/>
            </w:pPr>
            <w:r>
              <w:rPr>
                <w:rFonts w:ascii="Times New Roman" w:hAnsi="Times New Roman" w:eastAsia="宋体"/>
                <w:b w:val="0"/>
                <w:color w:val="000000"/>
                <w:sz w:val="19"/>
              </w:rPr>
              <w:t>校验依据是否来自检索片段</w:t>
            </w:r>
          </w:p>
        </w:tc>
        <w:tc>
          <w:tcPr>
            <w:tcW w:type="dxa" w:w="3124"/>
            <w:vAlign w:val="center"/>
          </w:tcPr>
          <w:p>
            <w:pPr>
              <w:spacing w:line="276" w:lineRule="auto" w:before="20" w:after="20"/>
              <w:jc w:val="left"/>
            </w:pPr>
            <w:r>
              <w:rPr>
                <w:rFonts w:ascii="Times New Roman" w:hAnsi="Times New Roman" w:eastAsia="宋体"/>
                <w:b w:val="0"/>
                <w:color w:val="000000"/>
                <w:sz w:val="19"/>
              </w:rPr>
              <w:t>无依据结论剔除或转人工复核</w:t>
            </w:r>
          </w:p>
        </w:tc>
      </w:tr>
      <w:tr>
        <w:tc>
          <w:tcPr>
            <w:tcW w:type="dxa" w:w="1366"/>
            <w:shd w:val="clear" w:color="auto" w:fill="F2F6FA"/>
            <w:vAlign w:val="center"/>
          </w:tcPr>
          <w:p>
            <w:pPr>
              <w:spacing w:line="276" w:lineRule="auto" w:before="20" w:after="20"/>
              <w:jc w:val="center"/>
            </w:pPr>
            <w:r>
              <w:rPr>
                <w:rFonts w:ascii="Times New Roman" w:hAnsi="Times New Roman" w:eastAsia="宋体"/>
                <w:b w:val="0"/>
                <w:color w:val="000000"/>
                <w:sz w:val="19"/>
              </w:rPr>
              <w:t>方案生成</w:t>
            </w:r>
          </w:p>
        </w:tc>
        <w:tc>
          <w:tcPr>
            <w:tcW w:type="dxa" w:w="1565"/>
            <w:shd w:val="clear" w:color="auto" w:fill="F2F6FA"/>
            <w:vAlign w:val="center"/>
          </w:tcPr>
          <w:p>
            <w:pPr>
              <w:spacing w:line="276" w:lineRule="auto" w:before="20" w:after="20"/>
              <w:jc w:val="center"/>
            </w:pPr>
            <w:r>
              <w:rPr>
                <w:rFonts w:ascii="Times New Roman" w:hAnsi="Times New Roman" w:eastAsia="宋体"/>
                <w:b w:val="0"/>
                <w:color w:val="000000"/>
                <w:sz w:val="19"/>
              </w:rPr>
              <w:t>结论与条款</w:t>
            </w:r>
          </w:p>
        </w:tc>
        <w:tc>
          <w:tcPr>
            <w:tcW w:type="dxa" w:w="3124"/>
            <w:shd w:val="clear" w:color="auto" w:fill="F2F6FA"/>
            <w:vAlign w:val="center"/>
          </w:tcPr>
          <w:p>
            <w:pPr>
              <w:spacing w:line="276" w:lineRule="auto" w:before="20" w:after="20"/>
              <w:jc w:val="left"/>
            </w:pPr>
            <w:r>
              <w:rPr>
                <w:rFonts w:ascii="Times New Roman" w:hAnsi="Times New Roman" w:eastAsia="宋体"/>
                <w:b w:val="0"/>
                <w:color w:val="000000"/>
                <w:sz w:val="19"/>
              </w:rPr>
              <w:t>处置建议、工单、台账、简报</w:t>
            </w:r>
          </w:p>
        </w:tc>
        <w:tc>
          <w:tcPr>
            <w:tcW w:type="dxa" w:w="3124"/>
            <w:shd w:val="clear" w:color="auto" w:fill="F2F6FA"/>
            <w:vAlign w:val="center"/>
          </w:tcPr>
          <w:p>
            <w:pPr>
              <w:spacing w:line="276" w:lineRule="auto" w:before="20" w:after="20"/>
              <w:jc w:val="left"/>
            </w:pPr>
            <w:r>
              <w:rPr>
                <w:rFonts w:ascii="Times New Roman" w:hAnsi="Times New Roman" w:eastAsia="宋体"/>
                <w:b w:val="0"/>
                <w:color w:val="000000"/>
                <w:sz w:val="19"/>
              </w:rPr>
              <w:t>必填字段缺失时自动补齐</w:t>
            </w:r>
          </w:p>
        </w:tc>
      </w:tr>
      <w:tr>
        <w:tc>
          <w:tcPr>
            <w:tcW w:type="dxa" w:w="1366"/>
            <w:vAlign w:val="center"/>
          </w:tcPr>
          <w:p>
            <w:pPr>
              <w:spacing w:line="276" w:lineRule="auto" w:before="20" w:after="20"/>
              <w:jc w:val="center"/>
            </w:pPr>
            <w:r>
              <w:rPr>
                <w:rFonts w:ascii="Times New Roman" w:hAnsi="Times New Roman" w:eastAsia="宋体"/>
                <w:b w:val="0"/>
                <w:color w:val="000000"/>
                <w:sz w:val="19"/>
              </w:rPr>
              <w:t>人工复核</w:t>
            </w:r>
          </w:p>
        </w:tc>
        <w:tc>
          <w:tcPr>
            <w:tcW w:type="dxa" w:w="1565"/>
            <w:vAlign w:val="center"/>
          </w:tcPr>
          <w:p>
            <w:pPr>
              <w:spacing w:line="276" w:lineRule="auto" w:before="20" w:after="20"/>
              <w:jc w:val="center"/>
            </w:pPr>
            <w:r>
              <w:rPr>
                <w:rFonts w:ascii="Times New Roman" w:hAnsi="Times New Roman" w:eastAsia="宋体"/>
                <w:b w:val="0"/>
                <w:color w:val="000000"/>
                <w:sz w:val="19"/>
              </w:rPr>
              <w:t>全链路结果</w:t>
            </w:r>
          </w:p>
        </w:tc>
        <w:tc>
          <w:tcPr>
            <w:tcW w:type="dxa" w:w="3124"/>
            <w:vAlign w:val="center"/>
          </w:tcPr>
          <w:p>
            <w:pPr>
              <w:spacing w:line="276" w:lineRule="auto" w:before="20" w:after="20"/>
              <w:jc w:val="left"/>
            </w:pPr>
            <w:r>
              <w:rPr>
                <w:rFonts w:ascii="Times New Roman" w:hAnsi="Times New Roman" w:eastAsia="宋体"/>
                <w:b w:val="0"/>
                <w:color w:val="000000"/>
                <w:sz w:val="19"/>
              </w:rPr>
              <w:t>确认发布或修改后定稿</w:t>
            </w:r>
          </w:p>
        </w:tc>
        <w:tc>
          <w:tcPr>
            <w:tcW w:type="dxa" w:w="3124"/>
            <w:vAlign w:val="center"/>
          </w:tcPr>
          <w:p>
            <w:pPr>
              <w:spacing w:line="276" w:lineRule="auto" w:before="20" w:after="20"/>
              <w:jc w:val="left"/>
            </w:pPr>
            <w:r>
              <w:rPr>
                <w:rFonts w:ascii="Times New Roman" w:hAnsi="Times New Roman" w:eastAsia="宋体"/>
                <w:b w:val="0"/>
                <w:color w:val="000000"/>
                <w:sz w:val="19"/>
              </w:rPr>
              <w:t>低置信度时必须人工确认</w:t>
            </w:r>
          </w:p>
        </w:tc>
      </w:tr>
    </w:tbl>
    <w:p>
      <w:pPr>
        <w:spacing w:line="324" w:lineRule="auto" w:after="40"/>
        <w:jc w:val="both"/>
      </w:pPr>
    </w:p>
    <w:p>
      <w:pPr>
        <w:pStyle w:val="Heading2"/>
        <w:keepNext/>
        <w:spacing w:before="200" w:after="80" w:line="288" w:lineRule="auto"/>
      </w:pPr>
      <w:r>
        <w:rPr>
          <w:rFonts w:ascii="Microsoft YaHei" w:hAnsi="Microsoft YaHei" w:eastAsia="微软雅黑"/>
          <w:b/>
          <w:color w:val="000000"/>
          <w:sz w:val="25"/>
        </w:rPr>
        <w:t>7.2 风险分级设计</w:t>
      </w:r>
    </w:p>
    <w:p>
      <w:pPr>
        <w:spacing w:line="324" w:lineRule="auto" w:after="100"/>
        <w:jc w:val="both"/>
      </w:pPr>
      <w:r>
        <w:rPr>
          <w:rFonts w:ascii="Times New Roman" w:hAnsi="Times New Roman" w:eastAsia="宋体"/>
          <w:b w:val="0"/>
          <w:color w:val="000000"/>
          <w:sz w:val="22"/>
        </w:rPr>
        <w:t>系统采用法定分类与操作分级双视角。法定分类以现行法规中的一般事故隐患和重大事故隐患为基础；操作分级用于界面统一和处置时限提示。</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ayout w:type="fixed"/>
      </w:tblPr>
      <w:tblGrid>
        <w:gridCol w:w="2296"/>
        <w:gridCol w:w="2296"/>
        <w:gridCol w:w="2296"/>
        <w:gridCol w:w="2296"/>
      </w:tblGrid>
      <w:tr>
        <w:trPr>
          <w:tblHeader w:val="true"/>
        </w:trPr>
        <w:tc>
          <w:tcPr>
            <w:tcW w:type="dxa" w:w="1355"/>
            <w:shd w:val="clear" w:color="auto" w:fill="1F4E79"/>
            <w:vAlign w:val="center"/>
          </w:tcPr>
          <w:p>
            <w:pPr>
              <w:spacing w:line="276" w:lineRule="auto" w:before="20" w:after="20"/>
              <w:jc w:val="center"/>
            </w:pPr>
            <w:r>
              <w:rPr>
                <w:rFonts w:ascii="Times New Roman" w:hAnsi="Times New Roman" w:eastAsia="宋体"/>
                <w:b/>
                <w:color w:val="FFFFFF"/>
                <w:sz w:val="19"/>
              </w:rPr>
              <w:t>操作等级</w:t>
            </w:r>
          </w:p>
        </w:tc>
        <w:tc>
          <w:tcPr>
            <w:tcW w:type="dxa" w:w="3464"/>
            <w:shd w:val="clear" w:color="auto" w:fill="1F4E79"/>
            <w:vAlign w:val="center"/>
          </w:tcPr>
          <w:p>
            <w:pPr>
              <w:spacing w:line="276" w:lineRule="auto" w:before="20" w:after="20"/>
              <w:jc w:val="center"/>
            </w:pPr>
            <w:r>
              <w:rPr>
                <w:rFonts w:ascii="Times New Roman" w:hAnsi="Times New Roman" w:eastAsia="宋体"/>
                <w:b/>
                <w:color w:val="FFFFFF"/>
                <w:sz w:val="19"/>
              </w:rPr>
              <w:t>含义</w:t>
            </w:r>
          </w:p>
        </w:tc>
        <w:tc>
          <w:tcPr>
            <w:tcW w:type="dxa" w:w="1655"/>
            <w:shd w:val="clear" w:color="auto" w:fill="1F4E79"/>
            <w:vAlign w:val="center"/>
          </w:tcPr>
          <w:p>
            <w:pPr>
              <w:spacing w:line="276" w:lineRule="auto" w:before="20" w:after="20"/>
              <w:jc w:val="center"/>
            </w:pPr>
            <w:r>
              <w:rPr>
                <w:rFonts w:ascii="Times New Roman" w:hAnsi="Times New Roman" w:eastAsia="宋体"/>
                <w:b/>
                <w:color w:val="FFFFFF"/>
                <w:sz w:val="19"/>
              </w:rPr>
              <w:t>处置时限</w:t>
            </w:r>
          </w:p>
        </w:tc>
        <w:tc>
          <w:tcPr>
            <w:tcW w:type="dxa" w:w="2710"/>
            <w:shd w:val="clear" w:color="auto" w:fill="1F4E79"/>
            <w:vAlign w:val="center"/>
          </w:tcPr>
          <w:p>
            <w:pPr>
              <w:spacing w:line="276" w:lineRule="auto" w:before="20" w:after="20"/>
              <w:jc w:val="center"/>
            </w:pPr>
            <w:r>
              <w:rPr>
                <w:rFonts w:ascii="Times New Roman" w:hAnsi="Times New Roman" w:eastAsia="宋体"/>
                <w:b/>
                <w:color w:val="FFFFFF"/>
                <w:sz w:val="19"/>
              </w:rPr>
              <w:t>对应法定概念</w:t>
            </w:r>
          </w:p>
        </w:tc>
      </w:tr>
      <w:tr>
        <w:tc>
          <w:tcPr>
            <w:tcW w:type="dxa" w:w="1355"/>
            <w:vAlign w:val="center"/>
          </w:tcPr>
          <w:p>
            <w:pPr>
              <w:spacing w:line="276" w:lineRule="auto" w:before="20" w:after="20"/>
              <w:jc w:val="center"/>
            </w:pPr>
            <w:r>
              <w:rPr>
                <w:rFonts w:ascii="Times New Roman" w:hAnsi="Times New Roman" w:eastAsia="宋体"/>
                <w:b w:val="0"/>
                <w:color w:val="000000"/>
                <w:sz w:val="19"/>
              </w:rPr>
              <w:t>一级，紧急</w:t>
            </w:r>
          </w:p>
        </w:tc>
        <w:tc>
          <w:tcPr>
            <w:tcW w:type="dxa" w:w="3464"/>
            <w:vAlign w:val="center"/>
          </w:tcPr>
          <w:p>
            <w:pPr>
              <w:spacing w:line="276" w:lineRule="auto" w:before="20" w:after="20"/>
              <w:jc w:val="left"/>
            </w:pPr>
            <w:r>
              <w:rPr>
                <w:rFonts w:ascii="Times New Roman" w:hAnsi="Times New Roman" w:eastAsia="宋体"/>
                <w:b w:val="0"/>
                <w:color w:val="000000"/>
                <w:sz w:val="19"/>
              </w:rPr>
              <w:t>可能造成人员伤害或重大财产损失，需立即处置</w:t>
            </w:r>
          </w:p>
        </w:tc>
        <w:tc>
          <w:tcPr>
            <w:tcW w:type="dxa" w:w="1655"/>
            <w:vAlign w:val="center"/>
          </w:tcPr>
          <w:p>
            <w:pPr>
              <w:spacing w:line="276" w:lineRule="auto" w:before="20" w:after="20"/>
              <w:jc w:val="center"/>
            </w:pPr>
            <w:r>
              <w:rPr>
                <w:rFonts w:ascii="Times New Roman" w:hAnsi="Times New Roman" w:eastAsia="宋体"/>
                <w:b w:val="0"/>
                <w:color w:val="000000"/>
                <w:sz w:val="19"/>
              </w:rPr>
              <w:t>立即处置并同步上报</w:t>
            </w:r>
          </w:p>
        </w:tc>
        <w:tc>
          <w:tcPr>
            <w:tcW w:type="dxa" w:w="2710"/>
            <w:vAlign w:val="center"/>
          </w:tcPr>
          <w:p>
            <w:pPr>
              <w:spacing w:line="276" w:lineRule="auto" w:before="20" w:after="20"/>
              <w:jc w:val="left"/>
            </w:pPr>
            <w:r>
              <w:rPr>
                <w:rFonts w:ascii="Times New Roman" w:hAnsi="Times New Roman" w:eastAsia="宋体"/>
                <w:b w:val="0"/>
                <w:color w:val="000000"/>
                <w:sz w:val="19"/>
              </w:rPr>
              <w:t>一般对应重大事故隐患或紧急情形</w:t>
            </w:r>
          </w:p>
        </w:tc>
      </w:tr>
      <w:tr>
        <w:tc>
          <w:tcPr>
            <w:tcW w:type="dxa" w:w="1355"/>
            <w:shd w:val="clear" w:color="auto" w:fill="F2F6FA"/>
            <w:vAlign w:val="center"/>
          </w:tcPr>
          <w:p>
            <w:pPr>
              <w:spacing w:line="276" w:lineRule="auto" w:before="20" w:after="20"/>
              <w:jc w:val="center"/>
            </w:pPr>
            <w:r>
              <w:rPr>
                <w:rFonts w:ascii="Times New Roman" w:hAnsi="Times New Roman" w:eastAsia="宋体"/>
                <w:b w:val="0"/>
                <w:color w:val="000000"/>
                <w:sz w:val="19"/>
              </w:rPr>
              <w:t>二级，限期整改</w:t>
            </w:r>
          </w:p>
        </w:tc>
        <w:tc>
          <w:tcPr>
            <w:tcW w:type="dxa" w:w="3464"/>
            <w:shd w:val="clear" w:color="auto" w:fill="F2F6FA"/>
            <w:vAlign w:val="center"/>
          </w:tcPr>
          <w:p>
            <w:pPr>
              <w:spacing w:line="276" w:lineRule="auto" w:before="20" w:after="20"/>
              <w:jc w:val="left"/>
            </w:pPr>
            <w:r>
              <w:rPr>
                <w:rFonts w:ascii="Times New Roman" w:hAnsi="Times New Roman" w:eastAsia="宋体"/>
                <w:b w:val="0"/>
                <w:color w:val="000000"/>
                <w:sz w:val="19"/>
              </w:rPr>
              <w:t>明显违反规范但短时风险可控</w:t>
            </w:r>
          </w:p>
        </w:tc>
        <w:tc>
          <w:tcPr>
            <w:tcW w:type="dxa" w:w="1655"/>
            <w:shd w:val="clear" w:color="auto" w:fill="F2F6FA"/>
            <w:vAlign w:val="center"/>
          </w:tcPr>
          <w:p>
            <w:pPr>
              <w:spacing w:line="276" w:lineRule="auto" w:before="20" w:after="20"/>
              <w:jc w:val="center"/>
            </w:pPr>
            <w:r>
              <w:rPr>
                <w:rFonts w:ascii="Times New Roman" w:hAnsi="Times New Roman" w:eastAsia="宋体"/>
                <w:b w:val="0"/>
                <w:color w:val="000000"/>
                <w:sz w:val="19"/>
              </w:rPr>
              <w:t>规定期限内完成整改</w:t>
            </w:r>
          </w:p>
        </w:tc>
        <w:tc>
          <w:tcPr>
            <w:tcW w:type="dxa" w:w="2710"/>
            <w:shd w:val="clear" w:color="auto" w:fill="F2F6FA"/>
            <w:vAlign w:val="center"/>
          </w:tcPr>
          <w:p>
            <w:pPr>
              <w:spacing w:line="276" w:lineRule="auto" w:before="20" w:after="20"/>
              <w:jc w:val="left"/>
            </w:pPr>
            <w:r>
              <w:rPr>
                <w:rFonts w:ascii="Times New Roman" w:hAnsi="Times New Roman" w:eastAsia="宋体"/>
                <w:b w:val="0"/>
                <w:color w:val="000000"/>
                <w:sz w:val="19"/>
              </w:rPr>
              <w:t>一般对应一般事故隐患中的较重情形</w:t>
            </w:r>
          </w:p>
        </w:tc>
      </w:tr>
      <w:tr>
        <w:tc>
          <w:tcPr>
            <w:tcW w:type="dxa" w:w="1355"/>
            <w:vAlign w:val="center"/>
          </w:tcPr>
          <w:p>
            <w:pPr>
              <w:spacing w:line="276" w:lineRule="auto" w:before="20" w:after="20"/>
              <w:jc w:val="center"/>
            </w:pPr>
            <w:r>
              <w:rPr>
                <w:rFonts w:ascii="Times New Roman" w:hAnsi="Times New Roman" w:eastAsia="宋体"/>
                <w:b w:val="0"/>
                <w:color w:val="000000"/>
                <w:sz w:val="19"/>
              </w:rPr>
              <w:t>三级，建议改进</w:t>
            </w:r>
          </w:p>
        </w:tc>
        <w:tc>
          <w:tcPr>
            <w:tcW w:type="dxa" w:w="3464"/>
            <w:vAlign w:val="center"/>
          </w:tcPr>
          <w:p>
            <w:pPr>
              <w:spacing w:line="276" w:lineRule="auto" w:before="20" w:after="20"/>
              <w:jc w:val="left"/>
            </w:pPr>
            <w:r>
              <w:rPr>
                <w:rFonts w:ascii="Times New Roman" w:hAnsi="Times New Roman" w:eastAsia="宋体"/>
                <w:b w:val="0"/>
                <w:color w:val="000000"/>
                <w:sz w:val="19"/>
              </w:rPr>
              <w:t>管理性或轻微问题</w:t>
            </w:r>
          </w:p>
        </w:tc>
        <w:tc>
          <w:tcPr>
            <w:tcW w:type="dxa" w:w="1655"/>
            <w:vAlign w:val="center"/>
          </w:tcPr>
          <w:p>
            <w:pPr>
              <w:spacing w:line="276" w:lineRule="auto" w:before="20" w:after="20"/>
              <w:jc w:val="center"/>
            </w:pPr>
            <w:r>
              <w:rPr>
                <w:rFonts w:ascii="Times New Roman" w:hAnsi="Times New Roman" w:eastAsia="宋体"/>
                <w:b w:val="0"/>
                <w:color w:val="000000"/>
                <w:sz w:val="19"/>
              </w:rPr>
              <w:t>列入计划整改</w:t>
            </w:r>
          </w:p>
        </w:tc>
        <w:tc>
          <w:tcPr>
            <w:tcW w:type="dxa" w:w="2710"/>
            <w:vAlign w:val="center"/>
          </w:tcPr>
          <w:p>
            <w:pPr>
              <w:spacing w:line="276" w:lineRule="auto" w:before="20" w:after="20"/>
              <w:jc w:val="left"/>
            </w:pPr>
            <w:r>
              <w:rPr>
                <w:rFonts w:ascii="Times New Roman" w:hAnsi="Times New Roman" w:eastAsia="宋体"/>
                <w:b w:val="0"/>
                <w:color w:val="000000"/>
                <w:sz w:val="19"/>
              </w:rPr>
              <w:t>一般事故隐患中的轻微情形</w:t>
            </w:r>
          </w:p>
        </w:tc>
      </w:tr>
    </w:tbl>
    <w:p>
      <w:pPr>
        <w:spacing w:line="324" w:lineRule="auto" w:after="40"/>
        <w:jc w:val="both"/>
      </w:pPr>
    </w:p>
    <w:p>
      <w:pPr>
        <w:spacing w:line="324" w:lineRule="auto" w:after="100"/>
        <w:jc w:val="both"/>
      </w:pPr>
      <w:r>
        <w:rPr>
          <w:rFonts w:ascii="Times New Roman" w:hAnsi="Times New Roman" w:eastAsia="宋体"/>
          <w:b w:val="0"/>
          <w:color w:val="000000"/>
          <w:sz w:val="22"/>
        </w:rPr>
        <w:t>具体判定以检索到的现行法规和判定标准为准，映射仅用于界面统一。</w:t>
      </w:r>
    </w:p>
    <w:p>
      <w:pPr>
        <w:pStyle w:val="Heading2"/>
        <w:keepNext/>
        <w:spacing w:before="200" w:after="80" w:line="288" w:lineRule="auto"/>
      </w:pPr>
      <w:r>
        <w:rPr>
          <w:rFonts w:ascii="Microsoft YaHei" w:hAnsi="Microsoft YaHei" w:eastAsia="微软雅黑"/>
          <w:b/>
          <w:color w:val="000000"/>
          <w:sz w:val="25"/>
        </w:rPr>
        <w:t>7.3 置信度与人工复核</w:t>
      </w:r>
    </w:p>
    <w:p>
      <w:pPr>
        <w:spacing w:line="324" w:lineRule="auto" w:after="100"/>
        <w:jc w:val="both"/>
      </w:pPr>
      <w:r>
        <w:rPr>
          <w:rFonts w:ascii="Times New Roman" w:hAnsi="Times New Roman" w:eastAsia="宋体"/>
          <w:b w:val="0"/>
          <w:color w:val="000000"/>
          <w:sz w:val="22"/>
        </w:rPr>
        <w:t>置信度由视觉理解、检索相关性、规则命中、模型自评四个维度加权得到：conf 等于各维度得分乘以权重之和，初值权重为 0.3、0.3、0.2、0.2，可在配置中调整。</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置信度不低于 0.8：自动生成结果，提示用户确认。</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置信度 0.5 至 0.8：标记建议人工复核。</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置信度低于 0.5：主动追问并补充信息，不直接输出结论。</w:t>
      </w:r>
    </w:p>
    <w:p>
      <w:pPr>
        <w:pStyle w:val="Heading2"/>
        <w:keepNext/>
        <w:spacing w:before="200" w:after="80" w:line="288" w:lineRule="auto"/>
      </w:pPr>
      <w:r>
        <w:rPr>
          <w:rFonts w:ascii="Microsoft YaHei" w:hAnsi="Microsoft YaHei" w:eastAsia="微软雅黑"/>
          <w:b/>
          <w:color w:val="000000"/>
          <w:sz w:val="25"/>
        </w:rPr>
        <w:t>7.4 防幻觉与证据链</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输出只允许引用检索片段原文，无检索支持的处置建议降级为通用安全提示。</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每条结论包含来源文档、文号、条款号、原文片段和检索时间。</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界面提供证据链标签页，评审和用户可以展开查看每条依据。</w:t>
      </w:r>
    </w:p>
    <w:p>
      <w:pPr>
        <w:pStyle w:val="Heading1"/>
        <w:keepNext/>
        <w:spacing w:before="280" w:after="120" w:line="288" w:lineRule="auto"/>
      </w:pPr>
      <w:r>
        <w:rPr>
          <w:rFonts w:ascii="Microsoft YaHei" w:hAnsi="Microsoft YaHei" w:eastAsia="微软雅黑"/>
          <w:b/>
          <w:color w:val="000000"/>
          <w:sz w:val="30"/>
        </w:rPr>
        <w:t>八、评测方案</w:t>
      </w:r>
    </w:p>
    <w:p>
      <w:pPr>
        <w:pStyle w:val="Heading2"/>
        <w:keepNext/>
        <w:spacing w:before="200" w:after="80" w:line="288" w:lineRule="auto"/>
      </w:pPr>
      <w:r>
        <w:rPr>
          <w:rFonts w:ascii="Microsoft YaHei" w:hAnsi="Microsoft YaHei" w:eastAsia="微软雅黑"/>
          <w:b/>
          <w:color w:val="000000"/>
          <w:sz w:val="25"/>
        </w:rPr>
        <w:t>8.1 脱敏测试集</w:t>
      </w:r>
    </w:p>
    <w:p>
      <w:pPr>
        <w:spacing w:line="324" w:lineRule="auto" w:after="100"/>
        <w:jc w:val="both"/>
      </w:pPr>
      <w:r>
        <w:rPr>
          <w:rFonts w:ascii="Times New Roman" w:hAnsi="Times New Roman" w:eastAsia="宋体"/>
          <w:b w:val="0"/>
          <w:color w:val="000000"/>
          <w:sz w:val="22"/>
        </w:rPr>
        <w:t>构建 30 至 50 条真实感的脱敏案例，覆盖消防、社区、生产、林区四类场景。每个案例包含照片、文字描述和标准答案；标准答案记录隐患类别、风险等级、应引用条款和处置建议要点，由指导老师或安全专业人员标注。</w:t>
      </w:r>
    </w:p>
    <w:p>
      <w:pPr>
        <w:pStyle w:val="Heading2"/>
        <w:keepNext/>
        <w:spacing w:before="200" w:after="80" w:line="288" w:lineRule="auto"/>
      </w:pPr>
      <w:r>
        <w:rPr>
          <w:rFonts w:ascii="Microsoft YaHei" w:hAnsi="Microsoft YaHei" w:eastAsia="微软雅黑"/>
          <w:b/>
          <w:color w:val="000000"/>
          <w:sz w:val="25"/>
        </w:rPr>
        <w:t>8.2 评测指标</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ayout w:type="fixed"/>
      </w:tblPr>
      <w:tblGrid>
        <w:gridCol w:w="3061"/>
        <w:gridCol w:w="3061"/>
        <w:gridCol w:w="3061"/>
      </w:tblGrid>
      <w:tr>
        <w:trPr>
          <w:tblHeader w:val="true"/>
        </w:trPr>
        <w:tc>
          <w:tcPr>
            <w:tcW w:type="dxa" w:w="2245"/>
            <w:shd w:val="clear" w:color="auto" w:fill="1F4E79"/>
            <w:vAlign w:val="center"/>
          </w:tcPr>
          <w:p>
            <w:pPr>
              <w:spacing w:line="276" w:lineRule="auto" w:before="20" w:after="20"/>
              <w:jc w:val="center"/>
            </w:pPr>
            <w:r>
              <w:rPr>
                <w:rFonts w:ascii="Times New Roman" w:hAnsi="Times New Roman" w:eastAsia="宋体"/>
                <w:b/>
                <w:color w:val="FFFFFF"/>
                <w:sz w:val="19"/>
              </w:rPr>
              <w:t>指标</w:t>
            </w:r>
          </w:p>
        </w:tc>
        <w:tc>
          <w:tcPr>
            <w:tcW w:type="dxa" w:w="4439"/>
            <w:shd w:val="clear" w:color="auto" w:fill="1F4E79"/>
            <w:vAlign w:val="center"/>
          </w:tcPr>
          <w:p>
            <w:pPr>
              <w:spacing w:line="276" w:lineRule="auto" w:before="20" w:after="20"/>
              <w:jc w:val="center"/>
            </w:pPr>
            <w:r>
              <w:rPr>
                <w:rFonts w:ascii="Times New Roman" w:hAnsi="Times New Roman" w:eastAsia="宋体"/>
                <w:b/>
                <w:color w:val="FFFFFF"/>
                <w:sz w:val="19"/>
              </w:rPr>
              <w:t>定义</w:t>
            </w:r>
          </w:p>
        </w:tc>
        <w:tc>
          <w:tcPr>
            <w:tcW w:type="dxa" w:w="2494"/>
            <w:shd w:val="clear" w:color="auto" w:fill="1F4E79"/>
            <w:vAlign w:val="center"/>
          </w:tcPr>
          <w:p>
            <w:pPr>
              <w:spacing w:line="276" w:lineRule="auto" w:before="20" w:after="20"/>
              <w:jc w:val="center"/>
            </w:pPr>
            <w:r>
              <w:rPr>
                <w:rFonts w:ascii="Times New Roman" w:hAnsi="Times New Roman" w:eastAsia="宋体"/>
                <w:b/>
                <w:color w:val="FFFFFF"/>
                <w:sz w:val="19"/>
              </w:rPr>
              <w:t>目标值</w:t>
            </w:r>
          </w:p>
        </w:tc>
      </w:tr>
      <w:tr>
        <w:tc>
          <w:tcPr>
            <w:tcW w:type="dxa" w:w="2245"/>
            <w:vAlign w:val="center"/>
          </w:tcPr>
          <w:p>
            <w:pPr>
              <w:spacing w:line="276" w:lineRule="auto" w:before="20" w:after="20"/>
              <w:jc w:val="center"/>
            </w:pPr>
            <w:r>
              <w:rPr>
                <w:rFonts w:ascii="Times New Roman" w:hAnsi="Times New Roman" w:eastAsia="宋体"/>
                <w:b w:val="0"/>
                <w:color w:val="000000"/>
                <w:sz w:val="19"/>
              </w:rPr>
              <w:t>隐患类别准确率</w:t>
            </w:r>
          </w:p>
        </w:tc>
        <w:tc>
          <w:tcPr>
            <w:tcW w:type="dxa" w:w="4439"/>
            <w:vAlign w:val="center"/>
          </w:tcPr>
          <w:p>
            <w:pPr>
              <w:spacing w:line="276" w:lineRule="auto" w:before="20" w:after="20"/>
              <w:jc w:val="left"/>
            </w:pPr>
            <w:r>
              <w:rPr>
                <w:rFonts w:ascii="Times New Roman" w:hAnsi="Times New Roman" w:eastAsia="宋体"/>
                <w:b w:val="0"/>
                <w:color w:val="000000"/>
                <w:sz w:val="19"/>
              </w:rPr>
              <w:t>系统输出的隐患类别与标注一致</w:t>
            </w:r>
          </w:p>
        </w:tc>
        <w:tc>
          <w:tcPr>
            <w:tcW w:type="dxa" w:w="2494"/>
            <w:vAlign w:val="center"/>
          </w:tcPr>
          <w:p>
            <w:pPr>
              <w:spacing w:line="276" w:lineRule="auto" w:before="20" w:after="20"/>
              <w:jc w:val="center"/>
            </w:pPr>
            <w:r>
              <w:rPr>
                <w:rFonts w:ascii="Times New Roman" w:hAnsi="Times New Roman" w:eastAsia="宋体"/>
                <w:b w:val="0"/>
                <w:color w:val="000000"/>
                <w:sz w:val="19"/>
              </w:rPr>
              <w:t>不低于 80%</w:t>
            </w:r>
          </w:p>
        </w:tc>
      </w:tr>
      <w:tr>
        <w:tc>
          <w:tcPr>
            <w:tcW w:type="dxa" w:w="2245"/>
            <w:shd w:val="clear" w:color="auto" w:fill="F2F6FA"/>
            <w:vAlign w:val="center"/>
          </w:tcPr>
          <w:p>
            <w:pPr>
              <w:spacing w:line="276" w:lineRule="auto" w:before="20" w:after="20"/>
              <w:jc w:val="center"/>
            </w:pPr>
            <w:r>
              <w:rPr>
                <w:rFonts w:ascii="Times New Roman" w:hAnsi="Times New Roman" w:eastAsia="宋体"/>
                <w:b w:val="0"/>
                <w:color w:val="000000"/>
                <w:sz w:val="19"/>
              </w:rPr>
              <w:t>风险等级一致率</w:t>
            </w:r>
          </w:p>
        </w:tc>
        <w:tc>
          <w:tcPr>
            <w:tcW w:type="dxa" w:w="4439"/>
            <w:shd w:val="clear" w:color="auto" w:fill="F2F6FA"/>
            <w:vAlign w:val="center"/>
          </w:tcPr>
          <w:p>
            <w:pPr>
              <w:spacing w:line="276" w:lineRule="auto" w:before="20" w:after="20"/>
              <w:jc w:val="left"/>
            </w:pPr>
            <w:r>
              <w:rPr>
                <w:rFonts w:ascii="Times New Roman" w:hAnsi="Times New Roman" w:eastAsia="宋体"/>
                <w:b w:val="0"/>
                <w:color w:val="000000"/>
                <w:sz w:val="19"/>
              </w:rPr>
              <w:t>系统等级与标注一致</w:t>
            </w:r>
          </w:p>
        </w:tc>
        <w:tc>
          <w:tcPr>
            <w:tcW w:type="dxa" w:w="2494"/>
            <w:shd w:val="clear" w:color="auto" w:fill="F2F6FA"/>
            <w:vAlign w:val="center"/>
          </w:tcPr>
          <w:p>
            <w:pPr>
              <w:spacing w:line="276" w:lineRule="auto" w:before="20" w:after="20"/>
              <w:jc w:val="center"/>
            </w:pPr>
            <w:r>
              <w:rPr>
                <w:rFonts w:ascii="Times New Roman" w:hAnsi="Times New Roman" w:eastAsia="宋体"/>
                <w:b w:val="0"/>
                <w:color w:val="000000"/>
                <w:sz w:val="19"/>
              </w:rPr>
              <w:t>不低于 85%</w:t>
            </w:r>
          </w:p>
        </w:tc>
      </w:tr>
      <w:tr>
        <w:tc>
          <w:tcPr>
            <w:tcW w:type="dxa" w:w="2245"/>
            <w:vAlign w:val="center"/>
          </w:tcPr>
          <w:p>
            <w:pPr>
              <w:spacing w:line="276" w:lineRule="auto" w:before="20" w:after="20"/>
              <w:jc w:val="center"/>
            </w:pPr>
            <w:r>
              <w:rPr>
                <w:rFonts w:ascii="Times New Roman" w:hAnsi="Times New Roman" w:eastAsia="宋体"/>
                <w:b w:val="0"/>
                <w:color w:val="000000"/>
                <w:sz w:val="19"/>
              </w:rPr>
              <w:t>条款命中率</w:t>
            </w:r>
          </w:p>
        </w:tc>
        <w:tc>
          <w:tcPr>
            <w:tcW w:type="dxa" w:w="4439"/>
            <w:vAlign w:val="center"/>
          </w:tcPr>
          <w:p>
            <w:pPr>
              <w:spacing w:line="276" w:lineRule="auto" w:before="20" w:after="20"/>
              <w:jc w:val="left"/>
            </w:pPr>
            <w:r>
              <w:rPr>
                <w:rFonts w:ascii="Times New Roman" w:hAnsi="Times New Roman" w:eastAsia="宋体"/>
                <w:b w:val="0"/>
                <w:color w:val="000000"/>
                <w:sz w:val="19"/>
              </w:rPr>
              <w:t>标准条款出现在 Top 5 检索结果中</w:t>
            </w:r>
          </w:p>
        </w:tc>
        <w:tc>
          <w:tcPr>
            <w:tcW w:type="dxa" w:w="2494"/>
            <w:vAlign w:val="center"/>
          </w:tcPr>
          <w:p>
            <w:pPr>
              <w:spacing w:line="276" w:lineRule="auto" w:before="20" w:after="20"/>
              <w:jc w:val="center"/>
            </w:pPr>
            <w:r>
              <w:rPr>
                <w:rFonts w:ascii="Times New Roman" w:hAnsi="Times New Roman" w:eastAsia="宋体"/>
                <w:b w:val="0"/>
                <w:color w:val="000000"/>
                <w:sz w:val="19"/>
              </w:rPr>
              <w:t>不低于 85%</w:t>
            </w:r>
          </w:p>
        </w:tc>
      </w:tr>
      <w:tr>
        <w:tc>
          <w:tcPr>
            <w:tcW w:type="dxa" w:w="2245"/>
            <w:shd w:val="clear" w:color="auto" w:fill="F2F6FA"/>
            <w:vAlign w:val="center"/>
          </w:tcPr>
          <w:p>
            <w:pPr>
              <w:spacing w:line="276" w:lineRule="auto" w:before="20" w:after="20"/>
              <w:jc w:val="center"/>
            </w:pPr>
            <w:r>
              <w:rPr>
                <w:rFonts w:ascii="Times New Roman" w:hAnsi="Times New Roman" w:eastAsia="宋体"/>
                <w:b w:val="0"/>
                <w:color w:val="000000"/>
                <w:sz w:val="19"/>
              </w:rPr>
              <w:t>溯源准确率</w:t>
            </w:r>
          </w:p>
        </w:tc>
        <w:tc>
          <w:tcPr>
            <w:tcW w:type="dxa" w:w="4439"/>
            <w:shd w:val="clear" w:color="auto" w:fill="F2F6FA"/>
            <w:vAlign w:val="center"/>
          </w:tcPr>
          <w:p>
            <w:pPr>
              <w:spacing w:line="276" w:lineRule="auto" w:before="20" w:after="20"/>
              <w:jc w:val="left"/>
            </w:pPr>
            <w:r>
              <w:rPr>
                <w:rFonts w:ascii="Times New Roman" w:hAnsi="Times New Roman" w:eastAsia="宋体"/>
                <w:b w:val="0"/>
                <w:color w:val="000000"/>
                <w:sz w:val="19"/>
              </w:rPr>
              <w:t>人工抽检结论具有有效依据的比例</w:t>
            </w:r>
          </w:p>
        </w:tc>
        <w:tc>
          <w:tcPr>
            <w:tcW w:type="dxa" w:w="2494"/>
            <w:shd w:val="clear" w:color="auto" w:fill="F2F6FA"/>
            <w:vAlign w:val="center"/>
          </w:tcPr>
          <w:p>
            <w:pPr>
              <w:spacing w:line="276" w:lineRule="auto" w:before="20" w:after="20"/>
              <w:jc w:val="center"/>
            </w:pPr>
            <w:r>
              <w:rPr>
                <w:rFonts w:ascii="Times New Roman" w:hAnsi="Times New Roman" w:eastAsia="宋体"/>
                <w:b w:val="0"/>
                <w:color w:val="000000"/>
                <w:sz w:val="19"/>
              </w:rPr>
              <w:t>不低于 90%</w:t>
            </w:r>
          </w:p>
        </w:tc>
      </w:tr>
      <w:tr>
        <w:tc>
          <w:tcPr>
            <w:tcW w:type="dxa" w:w="2245"/>
            <w:vAlign w:val="center"/>
          </w:tcPr>
          <w:p>
            <w:pPr>
              <w:spacing w:line="276" w:lineRule="auto" w:before="20" w:after="20"/>
              <w:jc w:val="center"/>
            </w:pPr>
            <w:r>
              <w:rPr>
                <w:rFonts w:ascii="Times New Roman" w:hAnsi="Times New Roman" w:eastAsia="宋体"/>
                <w:b w:val="0"/>
                <w:color w:val="000000"/>
                <w:sz w:val="19"/>
              </w:rPr>
              <w:t>幻觉率</w:t>
            </w:r>
          </w:p>
        </w:tc>
        <w:tc>
          <w:tcPr>
            <w:tcW w:type="dxa" w:w="4439"/>
            <w:vAlign w:val="center"/>
          </w:tcPr>
          <w:p>
            <w:pPr>
              <w:spacing w:line="276" w:lineRule="auto" w:before="20" w:after="20"/>
              <w:jc w:val="left"/>
            </w:pPr>
            <w:r>
              <w:rPr>
                <w:rFonts w:ascii="Times New Roman" w:hAnsi="Times New Roman" w:eastAsia="宋体"/>
                <w:b w:val="0"/>
                <w:color w:val="000000"/>
                <w:sz w:val="19"/>
              </w:rPr>
              <w:t>无依据关键结论占比</w:t>
            </w:r>
          </w:p>
        </w:tc>
        <w:tc>
          <w:tcPr>
            <w:tcW w:type="dxa" w:w="2494"/>
            <w:vAlign w:val="center"/>
          </w:tcPr>
          <w:p>
            <w:pPr>
              <w:spacing w:line="276" w:lineRule="auto" w:before="20" w:after="20"/>
              <w:jc w:val="center"/>
            </w:pPr>
            <w:r>
              <w:rPr>
                <w:rFonts w:ascii="Times New Roman" w:hAnsi="Times New Roman" w:eastAsia="宋体"/>
                <w:b w:val="0"/>
                <w:color w:val="000000"/>
                <w:sz w:val="19"/>
              </w:rPr>
              <w:t>不高于 5%</w:t>
            </w:r>
          </w:p>
        </w:tc>
      </w:tr>
      <w:tr>
        <w:tc>
          <w:tcPr>
            <w:tcW w:type="dxa" w:w="2245"/>
            <w:shd w:val="clear" w:color="auto" w:fill="F2F6FA"/>
            <w:vAlign w:val="center"/>
          </w:tcPr>
          <w:p>
            <w:pPr>
              <w:spacing w:line="276" w:lineRule="auto" w:before="20" w:after="20"/>
              <w:jc w:val="center"/>
            </w:pPr>
            <w:r>
              <w:rPr>
                <w:rFonts w:ascii="Times New Roman" w:hAnsi="Times New Roman" w:eastAsia="宋体"/>
                <w:b w:val="0"/>
                <w:color w:val="000000"/>
                <w:sz w:val="19"/>
              </w:rPr>
              <w:t>工单字段完整率</w:t>
            </w:r>
          </w:p>
        </w:tc>
        <w:tc>
          <w:tcPr>
            <w:tcW w:type="dxa" w:w="4439"/>
            <w:shd w:val="clear" w:color="auto" w:fill="F2F6FA"/>
            <w:vAlign w:val="center"/>
          </w:tcPr>
          <w:p>
            <w:pPr>
              <w:spacing w:line="276" w:lineRule="auto" w:before="20" w:after="20"/>
              <w:jc w:val="left"/>
            </w:pPr>
            <w:r>
              <w:rPr>
                <w:rFonts w:ascii="Times New Roman" w:hAnsi="Times New Roman" w:eastAsia="宋体"/>
                <w:b w:val="0"/>
                <w:color w:val="000000"/>
                <w:sz w:val="19"/>
              </w:rPr>
              <w:t>必填字段齐全的比例</w:t>
            </w:r>
          </w:p>
        </w:tc>
        <w:tc>
          <w:tcPr>
            <w:tcW w:type="dxa" w:w="2494"/>
            <w:shd w:val="clear" w:color="auto" w:fill="F2F6FA"/>
            <w:vAlign w:val="center"/>
          </w:tcPr>
          <w:p>
            <w:pPr>
              <w:spacing w:line="276" w:lineRule="auto" w:before="20" w:after="20"/>
              <w:jc w:val="center"/>
            </w:pPr>
            <w:r>
              <w:rPr>
                <w:rFonts w:ascii="Times New Roman" w:hAnsi="Times New Roman" w:eastAsia="宋体"/>
                <w:b w:val="0"/>
                <w:color w:val="000000"/>
                <w:sz w:val="19"/>
              </w:rPr>
              <w:t>不低于 95%</w:t>
            </w:r>
          </w:p>
        </w:tc>
      </w:tr>
      <w:tr>
        <w:tc>
          <w:tcPr>
            <w:tcW w:type="dxa" w:w="2245"/>
            <w:vAlign w:val="center"/>
          </w:tcPr>
          <w:p>
            <w:pPr>
              <w:spacing w:line="276" w:lineRule="auto" w:before="20" w:after="20"/>
              <w:jc w:val="center"/>
            </w:pPr>
            <w:r>
              <w:rPr>
                <w:rFonts w:ascii="Times New Roman" w:hAnsi="Times New Roman" w:eastAsia="宋体"/>
                <w:b w:val="0"/>
                <w:color w:val="000000"/>
                <w:sz w:val="19"/>
              </w:rPr>
              <w:t>端到端耗时</w:t>
            </w:r>
          </w:p>
        </w:tc>
        <w:tc>
          <w:tcPr>
            <w:tcW w:type="dxa" w:w="4439"/>
            <w:vAlign w:val="center"/>
          </w:tcPr>
          <w:p>
            <w:pPr>
              <w:spacing w:line="276" w:lineRule="auto" w:before="20" w:after="20"/>
              <w:jc w:val="left"/>
            </w:pPr>
            <w:r>
              <w:rPr>
                <w:rFonts w:ascii="Times New Roman" w:hAnsi="Times New Roman" w:eastAsia="宋体"/>
                <w:b w:val="0"/>
                <w:color w:val="000000"/>
                <w:sz w:val="19"/>
              </w:rPr>
              <w:t>上传到结果返回的时间</w:t>
            </w:r>
          </w:p>
        </w:tc>
        <w:tc>
          <w:tcPr>
            <w:tcW w:type="dxa" w:w="2494"/>
            <w:vAlign w:val="center"/>
          </w:tcPr>
          <w:p>
            <w:pPr>
              <w:spacing w:line="276" w:lineRule="auto" w:before="20" w:after="20"/>
              <w:jc w:val="center"/>
            </w:pPr>
            <w:r>
              <w:rPr>
                <w:rFonts w:ascii="Times New Roman" w:hAnsi="Times New Roman" w:eastAsia="宋体"/>
                <w:b w:val="0"/>
                <w:color w:val="000000"/>
                <w:sz w:val="19"/>
              </w:rPr>
              <w:t>不超过 30 秒</w:t>
            </w:r>
          </w:p>
        </w:tc>
      </w:tr>
      <w:tr>
        <w:tc>
          <w:tcPr>
            <w:tcW w:type="dxa" w:w="2245"/>
            <w:shd w:val="clear" w:color="auto" w:fill="F2F6FA"/>
            <w:vAlign w:val="center"/>
          </w:tcPr>
          <w:p>
            <w:pPr>
              <w:spacing w:line="276" w:lineRule="auto" w:before="20" w:after="20"/>
              <w:jc w:val="center"/>
            </w:pPr>
            <w:r>
              <w:rPr>
                <w:rFonts w:ascii="Times New Roman" w:hAnsi="Times New Roman" w:eastAsia="宋体"/>
                <w:b w:val="0"/>
                <w:color w:val="000000"/>
                <w:sz w:val="19"/>
              </w:rPr>
              <w:t>追问有效率</w:t>
            </w:r>
          </w:p>
        </w:tc>
        <w:tc>
          <w:tcPr>
            <w:tcW w:type="dxa" w:w="4439"/>
            <w:shd w:val="clear" w:color="auto" w:fill="F2F6FA"/>
            <w:vAlign w:val="center"/>
          </w:tcPr>
          <w:p>
            <w:pPr>
              <w:spacing w:line="276" w:lineRule="auto" w:before="20" w:after="20"/>
              <w:jc w:val="left"/>
            </w:pPr>
            <w:r>
              <w:rPr>
                <w:rFonts w:ascii="Times New Roman" w:hAnsi="Times New Roman" w:eastAsia="宋体"/>
                <w:b w:val="0"/>
                <w:color w:val="000000"/>
                <w:sz w:val="19"/>
              </w:rPr>
              <w:t>追问后信息确实得到补充的比例</w:t>
            </w:r>
          </w:p>
        </w:tc>
        <w:tc>
          <w:tcPr>
            <w:tcW w:type="dxa" w:w="2494"/>
            <w:shd w:val="clear" w:color="auto" w:fill="F2F6FA"/>
            <w:vAlign w:val="center"/>
          </w:tcPr>
          <w:p>
            <w:pPr>
              <w:spacing w:line="276" w:lineRule="auto" w:before="20" w:after="20"/>
              <w:jc w:val="center"/>
            </w:pPr>
            <w:r>
              <w:rPr>
                <w:rFonts w:ascii="Times New Roman" w:hAnsi="Times New Roman" w:eastAsia="宋体"/>
                <w:b w:val="0"/>
                <w:color w:val="000000"/>
                <w:sz w:val="19"/>
              </w:rPr>
              <w:t>不低于 70%</w:t>
            </w:r>
          </w:p>
        </w:tc>
      </w:tr>
    </w:tbl>
    <w:p>
      <w:pPr>
        <w:spacing w:line="324" w:lineRule="auto" w:after="40"/>
        <w:jc w:val="both"/>
      </w:pPr>
    </w:p>
    <w:p>
      <w:pPr>
        <w:pStyle w:val="Heading2"/>
        <w:keepNext/>
        <w:spacing w:before="200" w:after="80" w:line="288" w:lineRule="auto"/>
      </w:pPr>
      <w:r>
        <w:rPr>
          <w:rFonts w:ascii="Microsoft YaHei" w:hAnsi="Microsoft YaHei" w:eastAsia="微软雅黑"/>
          <w:b/>
          <w:color w:val="000000"/>
          <w:sz w:val="25"/>
        </w:rPr>
        <w:t>8.3 评测流程</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每周运行一次离线回归，任一核心指标回退时禁止合入演示分支。</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人工抽检为主，LLM-as-judge 仅作辅助，最终以专家标注为准。</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记录 badcase 并形成评测与优化记录，作为答辩材料。</w:t>
      </w:r>
    </w:p>
    <w:p>
      <w:pPr>
        <w:pStyle w:val="Heading1"/>
        <w:keepNext/>
        <w:spacing w:before="280" w:after="120" w:line="288" w:lineRule="auto"/>
      </w:pPr>
      <w:r>
        <w:rPr>
          <w:rFonts w:ascii="Microsoft YaHei" w:hAnsi="Microsoft YaHei" w:eastAsia="微软雅黑"/>
          <w:b/>
          <w:color w:val="000000"/>
          <w:sz w:val="30"/>
        </w:rPr>
        <w:t>九、非功能需求与合规</w:t>
      </w:r>
    </w:p>
    <w:p>
      <w:pPr>
        <w:pStyle w:val="Heading2"/>
        <w:keepNext/>
        <w:spacing w:before="200" w:after="80" w:line="288" w:lineRule="auto"/>
      </w:pPr>
      <w:r>
        <w:rPr>
          <w:rFonts w:ascii="Microsoft YaHei" w:hAnsi="Microsoft YaHei" w:eastAsia="微软雅黑"/>
          <w:b/>
          <w:color w:val="000000"/>
          <w:sz w:val="25"/>
        </w:rPr>
        <w:t>9.1 性能与可靠性</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单次研判端到端耗时不超过 30 秒，单张图片不超过 10MB，单次支持 1 至 3 张。</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服务重启不丢失历史记录，上传失败可重试。</w:t>
      </w:r>
    </w:p>
    <w:p>
      <w:pPr>
        <w:pStyle w:val="Heading2"/>
        <w:keepNext/>
        <w:spacing w:before="200" w:after="80" w:line="288" w:lineRule="auto"/>
      </w:pPr>
      <w:r>
        <w:rPr>
          <w:rFonts w:ascii="Microsoft YaHei" w:hAnsi="Microsoft YaHei" w:eastAsia="微软雅黑"/>
          <w:b/>
          <w:color w:val="000000"/>
          <w:sz w:val="25"/>
        </w:rPr>
        <w:t>9.2 安全与隐私</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上传图片默认检查人脸、车牌等敏感信息，提示或在入库前打码。</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巡查员只能查看本人记录，管理员管理知识库与系统配置。</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记录上传、研判、确认、导出等关键操作日志。</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图片保存在本地加密目录或 MinIO 私有桶，数据库按最小权限访问。</w:t>
      </w:r>
    </w:p>
    <w:p>
      <w:pPr>
        <w:pStyle w:val="Heading2"/>
        <w:keepNext/>
        <w:spacing w:before="200" w:after="80" w:line="288" w:lineRule="auto"/>
      </w:pPr>
      <w:r>
        <w:rPr>
          <w:rFonts w:ascii="Microsoft YaHei" w:hAnsi="Microsoft YaHei" w:eastAsia="微软雅黑"/>
          <w:b/>
          <w:color w:val="000000"/>
          <w:sz w:val="25"/>
        </w:rPr>
        <w:t>9.3 合规边界</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系统仅提供辅助研判参考，不替代执法、处罚和专家意见。</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页面明确标注 AI 辅助生成、需人工确认；高风险结论必须人工确认后导出。</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政务生产环境需要内网部署、等保测评和数据不出域，不在竞赛 MVP 范围内。</w:t>
      </w:r>
    </w:p>
    <w:p>
      <w:pPr>
        <w:pStyle w:val="Heading1"/>
        <w:keepNext/>
        <w:spacing w:before="280" w:after="120" w:line="288" w:lineRule="auto"/>
      </w:pPr>
      <w:r>
        <w:rPr>
          <w:rFonts w:ascii="Microsoft YaHei" w:hAnsi="Microsoft YaHei" w:eastAsia="微软雅黑"/>
          <w:b/>
          <w:color w:val="000000"/>
          <w:sz w:val="30"/>
        </w:rPr>
        <w:t>十、实施计划</w:t>
      </w:r>
    </w:p>
    <w:p>
      <w:pPr>
        <w:pStyle w:val="Heading2"/>
        <w:keepNext/>
        <w:spacing w:before="200" w:after="80" w:line="288" w:lineRule="auto"/>
      </w:pPr>
      <w:r>
        <w:rPr>
          <w:rFonts w:ascii="Microsoft YaHei" w:hAnsi="Microsoft YaHei" w:eastAsia="微软雅黑"/>
          <w:b/>
          <w:color w:val="000000"/>
          <w:sz w:val="25"/>
        </w:rPr>
        <w:t>10.1 八周开发计划</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ayout w:type="fixed"/>
      </w:tblPr>
      <w:tblGrid>
        <w:gridCol w:w="2296"/>
        <w:gridCol w:w="2296"/>
        <w:gridCol w:w="2296"/>
        <w:gridCol w:w="2296"/>
      </w:tblGrid>
      <w:tr>
        <w:trPr>
          <w:tblHeader w:val="true"/>
        </w:trPr>
        <w:tc>
          <w:tcPr>
            <w:tcW w:type="dxa" w:w="969"/>
            <w:shd w:val="clear" w:color="auto" w:fill="1F4E79"/>
            <w:vAlign w:val="center"/>
          </w:tcPr>
          <w:p>
            <w:pPr>
              <w:spacing w:line="276" w:lineRule="auto" w:before="20" w:after="20"/>
              <w:jc w:val="center"/>
            </w:pPr>
            <w:r>
              <w:rPr>
                <w:rFonts w:ascii="Times New Roman" w:hAnsi="Times New Roman" w:eastAsia="宋体"/>
                <w:b/>
                <w:color w:val="FFFFFF"/>
                <w:sz w:val="19"/>
              </w:rPr>
              <w:t>周次</w:t>
            </w:r>
          </w:p>
        </w:tc>
        <w:tc>
          <w:tcPr>
            <w:tcW w:type="dxa" w:w="1417"/>
            <w:shd w:val="clear" w:color="auto" w:fill="1F4E79"/>
            <w:vAlign w:val="center"/>
          </w:tcPr>
          <w:p>
            <w:pPr>
              <w:spacing w:line="276" w:lineRule="auto" w:before="20" w:after="20"/>
              <w:jc w:val="center"/>
            </w:pPr>
            <w:r>
              <w:rPr>
                <w:rFonts w:ascii="Times New Roman" w:hAnsi="Times New Roman" w:eastAsia="宋体"/>
                <w:b/>
                <w:color w:val="FFFFFF"/>
                <w:sz w:val="19"/>
              </w:rPr>
              <w:t>阶段</w:t>
            </w:r>
          </w:p>
        </w:tc>
        <w:tc>
          <w:tcPr>
            <w:tcW w:type="dxa" w:w="4354"/>
            <w:shd w:val="clear" w:color="auto" w:fill="1F4E79"/>
            <w:vAlign w:val="center"/>
          </w:tcPr>
          <w:p>
            <w:pPr>
              <w:spacing w:line="276" w:lineRule="auto" w:before="20" w:after="20"/>
              <w:jc w:val="center"/>
            </w:pPr>
            <w:r>
              <w:rPr>
                <w:rFonts w:ascii="Times New Roman" w:hAnsi="Times New Roman" w:eastAsia="宋体"/>
                <w:b/>
                <w:color w:val="FFFFFF"/>
                <w:sz w:val="19"/>
              </w:rPr>
              <w:t>关键任务</w:t>
            </w:r>
          </w:p>
        </w:tc>
        <w:tc>
          <w:tcPr>
            <w:tcW w:type="dxa" w:w="2449"/>
            <w:shd w:val="clear" w:color="auto" w:fill="1F4E79"/>
            <w:vAlign w:val="center"/>
          </w:tcPr>
          <w:p>
            <w:pPr>
              <w:spacing w:line="276" w:lineRule="auto" w:before="20" w:after="20"/>
              <w:jc w:val="center"/>
            </w:pPr>
            <w:r>
              <w:rPr>
                <w:rFonts w:ascii="Times New Roman" w:hAnsi="Times New Roman" w:eastAsia="宋体"/>
                <w:b/>
                <w:color w:val="FFFFFF"/>
                <w:sz w:val="19"/>
              </w:rPr>
              <w:t>验收标准</w:t>
            </w:r>
          </w:p>
        </w:tc>
      </w:tr>
      <w:tr>
        <w:tc>
          <w:tcPr>
            <w:tcW w:type="dxa" w:w="969"/>
            <w:vAlign w:val="center"/>
          </w:tcPr>
          <w:p>
            <w:pPr>
              <w:spacing w:line="276" w:lineRule="auto" w:before="20" w:after="20"/>
              <w:jc w:val="center"/>
            </w:pPr>
            <w:r>
              <w:rPr>
                <w:rFonts w:ascii="Times New Roman" w:hAnsi="Times New Roman" w:eastAsia="宋体"/>
                <w:b w:val="0"/>
                <w:color w:val="000000"/>
                <w:sz w:val="19"/>
              </w:rPr>
              <w:t>第 1 周</w:t>
            </w:r>
          </w:p>
        </w:tc>
        <w:tc>
          <w:tcPr>
            <w:tcW w:type="dxa" w:w="1417"/>
            <w:vAlign w:val="center"/>
          </w:tcPr>
          <w:p>
            <w:pPr>
              <w:spacing w:line="276" w:lineRule="auto" w:before="20" w:after="20"/>
              <w:jc w:val="center"/>
            </w:pPr>
            <w:r>
              <w:rPr>
                <w:rFonts w:ascii="Times New Roman" w:hAnsi="Times New Roman" w:eastAsia="宋体"/>
                <w:b w:val="0"/>
                <w:color w:val="000000"/>
                <w:sz w:val="19"/>
              </w:rPr>
              <w:t>技术预研</w:t>
            </w:r>
          </w:p>
        </w:tc>
        <w:tc>
          <w:tcPr>
            <w:tcW w:type="dxa" w:w="4354"/>
            <w:vAlign w:val="center"/>
          </w:tcPr>
          <w:p>
            <w:pPr>
              <w:spacing w:line="276" w:lineRule="auto" w:before="20" w:after="20"/>
              <w:jc w:val="left"/>
            </w:pPr>
            <w:r>
              <w:rPr>
                <w:rFonts w:ascii="Times New Roman" w:hAnsi="Times New Roman" w:eastAsia="宋体"/>
                <w:b w:val="0"/>
                <w:color w:val="000000"/>
                <w:sz w:val="19"/>
              </w:rPr>
              <w:t>注册 API、跑通视觉模型、LangGraph 示例、FAISS 检索示例</w:t>
            </w:r>
          </w:p>
        </w:tc>
        <w:tc>
          <w:tcPr>
            <w:tcW w:type="dxa" w:w="2449"/>
            <w:vAlign w:val="center"/>
          </w:tcPr>
          <w:p>
            <w:pPr>
              <w:spacing w:line="276" w:lineRule="auto" w:before="20" w:after="20"/>
              <w:jc w:val="left"/>
            </w:pPr>
            <w:r>
              <w:rPr>
                <w:rFonts w:ascii="Times New Roman" w:hAnsi="Times New Roman" w:eastAsia="宋体"/>
                <w:b w:val="0"/>
                <w:color w:val="000000"/>
                <w:sz w:val="19"/>
              </w:rPr>
              <w:t>两张样例照片返回结构化描述</w:t>
            </w:r>
          </w:p>
        </w:tc>
      </w:tr>
      <w:tr>
        <w:tc>
          <w:tcPr>
            <w:tcW w:type="dxa" w:w="969"/>
            <w:shd w:val="clear" w:color="auto" w:fill="F2F6FA"/>
            <w:vAlign w:val="center"/>
          </w:tcPr>
          <w:p>
            <w:pPr>
              <w:spacing w:line="276" w:lineRule="auto" w:before="20" w:after="20"/>
              <w:jc w:val="center"/>
            </w:pPr>
            <w:r>
              <w:rPr>
                <w:rFonts w:ascii="Times New Roman" w:hAnsi="Times New Roman" w:eastAsia="宋体"/>
                <w:b w:val="0"/>
                <w:color w:val="000000"/>
                <w:sz w:val="19"/>
              </w:rPr>
              <w:t>第 2 周</w:t>
            </w:r>
          </w:p>
        </w:tc>
        <w:tc>
          <w:tcPr>
            <w:tcW w:type="dxa" w:w="1417"/>
            <w:shd w:val="clear" w:color="auto" w:fill="F2F6FA"/>
            <w:vAlign w:val="center"/>
          </w:tcPr>
          <w:p>
            <w:pPr>
              <w:spacing w:line="276" w:lineRule="auto" w:before="20" w:after="20"/>
              <w:jc w:val="center"/>
            </w:pPr>
            <w:r>
              <w:rPr>
                <w:rFonts w:ascii="Times New Roman" w:hAnsi="Times New Roman" w:eastAsia="宋体"/>
                <w:b w:val="0"/>
                <w:color w:val="000000"/>
                <w:sz w:val="19"/>
              </w:rPr>
              <w:t>知识库 v0</w:t>
            </w:r>
          </w:p>
        </w:tc>
        <w:tc>
          <w:tcPr>
            <w:tcW w:type="dxa" w:w="4354"/>
            <w:shd w:val="clear" w:color="auto" w:fill="F2F6FA"/>
            <w:vAlign w:val="center"/>
          </w:tcPr>
          <w:p>
            <w:pPr>
              <w:spacing w:line="276" w:lineRule="auto" w:before="20" w:after="20"/>
              <w:jc w:val="left"/>
            </w:pPr>
            <w:r>
              <w:rPr>
                <w:rFonts w:ascii="Times New Roman" w:hAnsi="Times New Roman" w:eastAsia="宋体"/>
                <w:b w:val="0"/>
                <w:color w:val="000000"/>
                <w:sz w:val="19"/>
              </w:rPr>
              <w:t>收集消防与社区文档，清洗并切片入库</w:t>
            </w:r>
          </w:p>
        </w:tc>
        <w:tc>
          <w:tcPr>
            <w:tcW w:type="dxa" w:w="2449"/>
            <w:shd w:val="clear" w:color="auto" w:fill="F2F6FA"/>
            <w:vAlign w:val="center"/>
          </w:tcPr>
          <w:p>
            <w:pPr>
              <w:spacing w:line="276" w:lineRule="auto" w:before="20" w:after="20"/>
              <w:jc w:val="left"/>
            </w:pPr>
            <w:r>
              <w:rPr>
                <w:rFonts w:ascii="Times New Roman" w:hAnsi="Times New Roman" w:eastAsia="宋体"/>
                <w:b w:val="0"/>
                <w:color w:val="000000"/>
                <w:sz w:val="19"/>
              </w:rPr>
              <w:t>5 个典型问答可溯源</w:t>
            </w:r>
          </w:p>
        </w:tc>
      </w:tr>
      <w:tr>
        <w:tc>
          <w:tcPr>
            <w:tcW w:type="dxa" w:w="969"/>
            <w:vAlign w:val="center"/>
          </w:tcPr>
          <w:p>
            <w:pPr>
              <w:spacing w:line="276" w:lineRule="auto" w:before="20" w:after="20"/>
              <w:jc w:val="center"/>
            </w:pPr>
            <w:r>
              <w:rPr>
                <w:rFonts w:ascii="Times New Roman" w:hAnsi="Times New Roman" w:eastAsia="宋体"/>
                <w:b w:val="0"/>
                <w:color w:val="000000"/>
                <w:sz w:val="19"/>
              </w:rPr>
              <w:t>第 3 周</w:t>
            </w:r>
          </w:p>
        </w:tc>
        <w:tc>
          <w:tcPr>
            <w:tcW w:type="dxa" w:w="1417"/>
            <w:vAlign w:val="center"/>
          </w:tcPr>
          <w:p>
            <w:pPr>
              <w:spacing w:line="276" w:lineRule="auto" w:before="20" w:after="20"/>
              <w:jc w:val="center"/>
            </w:pPr>
            <w:r>
              <w:rPr>
                <w:rFonts w:ascii="Times New Roman" w:hAnsi="Times New Roman" w:eastAsia="宋体"/>
                <w:b w:val="0"/>
                <w:color w:val="000000"/>
                <w:sz w:val="19"/>
              </w:rPr>
              <w:t>后端骨架</w:t>
            </w:r>
          </w:p>
        </w:tc>
        <w:tc>
          <w:tcPr>
            <w:tcW w:type="dxa" w:w="4354"/>
            <w:vAlign w:val="center"/>
          </w:tcPr>
          <w:p>
            <w:pPr>
              <w:spacing w:line="276" w:lineRule="auto" w:before="20" w:after="20"/>
              <w:jc w:val="left"/>
            </w:pPr>
            <w:r>
              <w:rPr>
                <w:rFonts w:ascii="Times New Roman" w:hAnsi="Times New Roman" w:eastAsia="宋体"/>
                <w:b w:val="0"/>
                <w:color w:val="000000"/>
                <w:sz w:val="19"/>
              </w:rPr>
              <w:t>FastAPI、文件上传、数据库、历史记录</w:t>
            </w:r>
          </w:p>
        </w:tc>
        <w:tc>
          <w:tcPr>
            <w:tcW w:type="dxa" w:w="2449"/>
            <w:vAlign w:val="center"/>
          </w:tcPr>
          <w:p>
            <w:pPr>
              <w:spacing w:line="276" w:lineRule="auto" w:before="20" w:after="20"/>
              <w:jc w:val="left"/>
            </w:pPr>
            <w:r>
              <w:rPr>
                <w:rFonts w:ascii="Times New Roman" w:hAnsi="Times New Roman" w:eastAsia="宋体"/>
                <w:b w:val="0"/>
                <w:color w:val="000000"/>
                <w:sz w:val="19"/>
              </w:rPr>
              <w:t>Swagger 可完成一次研判落库</w:t>
            </w:r>
          </w:p>
        </w:tc>
      </w:tr>
      <w:tr>
        <w:tc>
          <w:tcPr>
            <w:tcW w:type="dxa" w:w="969"/>
            <w:shd w:val="clear" w:color="auto" w:fill="F2F6FA"/>
            <w:vAlign w:val="center"/>
          </w:tcPr>
          <w:p>
            <w:pPr>
              <w:spacing w:line="276" w:lineRule="auto" w:before="20" w:after="20"/>
              <w:jc w:val="center"/>
            </w:pPr>
            <w:r>
              <w:rPr>
                <w:rFonts w:ascii="Times New Roman" w:hAnsi="Times New Roman" w:eastAsia="宋体"/>
                <w:b w:val="0"/>
                <w:color w:val="000000"/>
                <w:sz w:val="19"/>
              </w:rPr>
              <w:t>第 4 周</w:t>
            </w:r>
          </w:p>
        </w:tc>
        <w:tc>
          <w:tcPr>
            <w:tcW w:type="dxa" w:w="1417"/>
            <w:shd w:val="clear" w:color="auto" w:fill="F2F6FA"/>
            <w:vAlign w:val="center"/>
          </w:tcPr>
          <w:p>
            <w:pPr>
              <w:spacing w:line="276" w:lineRule="auto" w:before="20" w:after="20"/>
              <w:jc w:val="center"/>
            </w:pPr>
            <w:r>
              <w:rPr>
                <w:rFonts w:ascii="Times New Roman" w:hAnsi="Times New Roman" w:eastAsia="宋体"/>
                <w:b w:val="0"/>
                <w:color w:val="000000"/>
                <w:sz w:val="19"/>
              </w:rPr>
              <w:t>研判链路 v1</w:t>
            </w:r>
          </w:p>
        </w:tc>
        <w:tc>
          <w:tcPr>
            <w:tcW w:type="dxa" w:w="4354"/>
            <w:shd w:val="clear" w:color="auto" w:fill="F2F6FA"/>
            <w:vAlign w:val="center"/>
          </w:tcPr>
          <w:p>
            <w:pPr>
              <w:spacing w:line="276" w:lineRule="auto" w:before="20" w:after="20"/>
              <w:jc w:val="left"/>
            </w:pPr>
            <w:r>
              <w:rPr>
                <w:rFonts w:ascii="Times New Roman" w:hAnsi="Times New Roman" w:eastAsia="宋体"/>
                <w:b w:val="0"/>
                <w:color w:val="000000"/>
                <w:sz w:val="19"/>
              </w:rPr>
              <w:t>多模态解析、RAG、分级、工单生成</w:t>
            </w:r>
          </w:p>
        </w:tc>
        <w:tc>
          <w:tcPr>
            <w:tcW w:type="dxa" w:w="2449"/>
            <w:shd w:val="clear" w:color="auto" w:fill="F2F6FA"/>
            <w:vAlign w:val="center"/>
          </w:tcPr>
          <w:p>
            <w:pPr>
              <w:spacing w:line="276" w:lineRule="auto" w:before="20" w:after="20"/>
              <w:jc w:val="left"/>
            </w:pPr>
            <w:r>
              <w:rPr>
                <w:rFonts w:ascii="Times New Roman" w:hAnsi="Times New Roman" w:eastAsia="宋体"/>
                <w:b w:val="0"/>
                <w:color w:val="000000"/>
                <w:sz w:val="19"/>
              </w:rPr>
              <w:t>5 个评测样例通过率不低于 70%</w:t>
            </w:r>
          </w:p>
        </w:tc>
      </w:tr>
      <w:tr>
        <w:tc>
          <w:tcPr>
            <w:tcW w:type="dxa" w:w="969"/>
            <w:vAlign w:val="center"/>
          </w:tcPr>
          <w:p>
            <w:pPr>
              <w:spacing w:line="276" w:lineRule="auto" w:before="20" w:after="20"/>
              <w:jc w:val="center"/>
            </w:pPr>
            <w:r>
              <w:rPr>
                <w:rFonts w:ascii="Times New Roman" w:hAnsi="Times New Roman" w:eastAsia="宋体"/>
                <w:b w:val="0"/>
                <w:color w:val="000000"/>
                <w:sz w:val="19"/>
              </w:rPr>
              <w:t>第 5 周</w:t>
            </w:r>
          </w:p>
        </w:tc>
        <w:tc>
          <w:tcPr>
            <w:tcW w:type="dxa" w:w="1417"/>
            <w:vAlign w:val="center"/>
          </w:tcPr>
          <w:p>
            <w:pPr>
              <w:spacing w:line="276" w:lineRule="auto" w:before="20" w:after="20"/>
              <w:jc w:val="center"/>
            </w:pPr>
            <w:r>
              <w:rPr>
                <w:rFonts w:ascii="Times New Roman" w:hAnsi="Times New Roman" w:eastAsia="宋体"/>
                <w:b w:val="0"/>
                <w:color w:val="000000"/>
                <w:sz w:val="19"/>
              </w:rPr>
              <w:t>Agent 全流程</w:t>
            </w:r>
          </w:p>
        </w:tc>
        <w:tc>
          <w:tcPr>
            <w:tcW w:type="dxa" w:w="4354"/>
            <w:vAlign w:val="center"/>
          </w:tcPr>
          <w:p>
            <w:pPr>
              <w:spacing w:line="276" w:lineRule="auto" w:before="20" w:after="20"/>
              <w:jc w:val="left"/>
            </w:pPr>
            <w:r>
              <w:rPr>
                <w:rFonts w:ascii="Times New Roman" w:hAnsi="Times New Roman" w:eastAsia="宋体"/>
                <w:b w:val="0"/>
                <w:color w:val="000000"/>
                <w:sz w:val="19"/>
              </w:rPr>
              <w:t>追问、置信度、证据检查、人工复核</w:t>
            </w:r>
          </w:p>
        </w:tc>
        <w:tc>
          <w:tcPr>
            <w:tcW w:type="dxa" w:w="2449"/>
            <w:vAlign w:val="center"/>
          </w:tcPr>
          <w:p>
            <w:pPr>
              <w:spacing w:line="276" w:lineRule="auto" w:before="20" w:after="20"/>
              <w:jc w:val="left"/>
            </w:pPr>
            <w:r>
              <w:rPr>
                <w:rFonts w:ascii="Times New Roman" w:hAnsi="Times New Roman" w:eastAsia="宋体"/>
                <w:b w:val="0"/>
                <w:color w:val="000000"/>
                <w:sz w:val="19"/>
              </w:rPr>
              <w:t>评测指标达到目标的八成</w:t>
            </w:r>
          </w:p>
        </w:tc>
      </w:tr>
      <w:tr>
        <w:tc>
          <w:tcPr>
            <w:tcW w:type="dxa" w:w="969"/>
            <w:shd w:val="clear" w:color="auto" w:fill="F2F6FA"/>
            <w:vAlign w:val="center"/>
          </w:tcPr>
          <w:p>
            <w:pPr>
              <w:spacing w:line="276" w:lineRule="auto" w:before="20" w:after="20"/>
              <w:jc w:val="center"/>
            </w:pPr>
            <w:r>
              <w:rPr>
                <w:rFonts w:ascii="Times New Roman" w:hAnsi="Times New Roman" w:eastAsia="宋体"/>
                <w:b w:val="0"/>
                <w:color w:val="000000"/>
                <w:sz w:val="19"/>
              </w:rPr>
              <w:t>第 6 周</w:t>
            </w:r>
          </w:p>
        </w:tc>
        <w:tc>
          <w:tcPr>
            <w:tcW w:type="dxa" w:w="1417"/>
            <w:shd w:val="clear" w:color="auto" w:fill="F2F6FA"/>
            <w:vAlign w:val="center"/>
          </w:tcPr>
          <w:p>
            <w:pPr>
              <w:spacing w:line="276" w:lineRule="auto" w:before="20" w:after="20"/>
              <w:jc w:val="center"/>
            </w:pPr>
            <w:r>
              <w:rPr>
                <w:rFonts w:ascii="Times New Roman" w:hAnsi="Times New Roman" w:eastAsia="宋体"/>
                <w:b w:val="0"/>
                <w:color w:val="000000"/>
                <w:sz w:val="19"/>
              </w:rPr>
              <w:t>前端 v1</w:t>
            </w:r>
          </w:p>
        </w:tc>
        <w:tc>
          <w:tcPr>
            <w:tcW w:type="dxa" w:w="4354"/>
            <w:shd w:val="clear" w:color="auto" w:fill="F2F6FA"/>
            <w:vAlign w:val="center"/>
          </w:tcPr>
          <w:p>
            <w:pPr>
              <w:spacing w:line="276" w:lineRule="auto" w:before="20" w:after="20"/>
              <w:jc w:val="left"/>
            </w:pPr>
            <w:r>
              <w:rPr>
                <w:rFonts w:ascii="Times New Roman" w:hAnsi="Times New Roman" w:eastAsia="宋体"/>
                <w:b w:val="0"/>
                <w:color w:val="000000"/>
                <w:sz w:val="19"/>
              </w:rPr>
              <w:t>上传、结果、历史、证据链页面</w:t>
            </w:r>
          </w:p>
        </w:tc>
        <w:tc>
          <w:tcPr>
            <w:tcW w:type="dxa" w:w="2449"/>
            <w:shd w:val="clear" w:color="auto" w:fill="F2F6FA"/>
            <w:vAlign w:val="center"/>
          </w:tcPr>
          <w:p>
            <w:pPr>
              <w:spacing w:line="276" w:lineRule="auto" w:before="20" w:after="20"/>
              <w:jc w:val="left"/>
            </w:pPr>
            <w:r>
              <w:rPr>
                <w:rFonts w:ascii="Times New Roman" w:hAnsi="Times New Roman" w:eastAsia="宋体"/>
                <w:b w:val="0"/>
                <w:color w:val="000000"/>
                <w:sz w:val="19"/>
              </w:rPr>
              <w:t>浏览器端到端跑通</w:t>
            </w:r>
          </w:p>
        </w:tc>
      </w:tr>
      <w:tr>
        <w:tc>
          <w:tcPr>
            <w:tcW w:type="dxa" w:w="969"/>
            <w:vAlign w:val="center"/>
          </w:tcPr>
          <w:p>
            <w:pPr>
              <w:spacing w:line="276" w:lineRule="auto" w:before="20" w:after="20"/>
              <w:jc w:val="center"/>
            </w:pPr>
            <w:r>
              <w:rPr>
                <w:rFonts w:ascii="Times New Roman" w:hAnsi="Times New Roman" w:eastAsia="宋体"/>
                <w:b w:val="0"/>
                <w:color w:val="000000"/>
                <w:sz w:val="19"/>
              </w:rPr>
              <w:t>第 7 周</w:t>
            </w:r>
          </w:p>
        </w:tc>
        <w:tc>
          <w:tcPr>
            <w:tcW w:type="dxa" w:w="1417"/>
            <w:vAlign w:val="center"/>
          </w:tcPr>
          <w:p>
            <w:pPr>
              <w:spacing w:line="276" w:lineRule="auto" w:before="20" w:after="20"/>
              <w:jc w:val="center"/>
            </w:pPr>
            <w:r>
              <w:rPr>
                <w:rFonts w:ascii="Times New Roman" w:hAnsi="Times New Roman" w:eastAsia="宋体"/>
                <w:b w:val="0"/>
                <w:color w:val="000000"/>
                <w:sz w:val="19"/>
              </w:rPr>
              <w:t>评测优化</w:t>
            </w:r>
          </w:p>
        </w:tc>
        <w:tc>
          <w:tcPr>
            <w:tcW w:type="dxa" w:w="4354"/>
            <w:vAlign w:val="center"/>
          </w:tcPr>
          <w:p>
            <w:pPr>
              <w:spacing w:line="276" w:lineRule="auto" w:before="20" w:after="20"/>
              <w:jc w:val="left"/>
            </w:pPr>
            <w:r>
              <w:rPr>
                <w:rFonts w:ascii="Times New Roman" w:hAnsi="Times New Roman" w:eastAsia="宋体"/>
                <w:b w:val="0"/>
                <w:color w:val="000000"/>
                <w:sz w:val="19"/>
              </w:rPr>
              <w:t>30 至 50 案例评测、badcase 修复</w:t>
            </w:r>
          </w:p>
        </w:tc>
        <w:tc>
          <w:tcPr>
            <w:tcW w:type="dxa" w:w="2449"/>
            <w:vAlign w:val="center"/>
          </w:tcPr>
          <w:p>
            <w:pPr>
              <w:spacing w:line="276" w:lineRule="auto" w:before="20" w:after="20"/>
              <w:jc w:val="left"/>
            </w:pPr>
            <w:r>
              <w:rPr>
                <w:rFonts w:ascii="Times New Roman" w:hAnsi="Times New Roman" w:eastAsia="宋体"/>
                <w:b w:val="0"/>
                <w:color w:val="000000"/>
                <w:sz w:val="19"/>
              </w:rPr>
              <w:t>核心指标达标</w:t>
            </w:r>
          </w:p>
        </w:tc>
      </w:tr>
      <w:tr>
        <w:tc>
          <w:tcPr>
            <w:tcW w:type="dxa" w:w="969"/>
            <w:shd w:val="clear" w:color="auto" w:fill="F2F6FA"/>
            <w:vAlign w:val="center"/>
          </w:tcPr>
          <w:p>
            <w:pPr>
              <w:spacing w:line="276" w:lineRule="auto" w:before="20" w:after="20"/>
              <w:jc w:val="center"/>
            </w:pPr>
            <w:r>
              <w:rPr>
                <w:rFonts w:ascii="Times New Roman" w:hAnsi="Times New Roman" w:eastAsia="宋体"/>
                <w:b w:val="0"/>
                <w:color w:val="000000"/>
                <w:sz w:val="19"/>
              </w:rPr>
              <w:t>第 8 周</w:t>
            </w:r>
          </w:p>
        </w:tc>
        <w:tc>
          <w:tcPr>
            <w:tcW w:type="dxa" w:w="1417"/>
            <w:shd w:val="clear" w:color="auto" w:fill="F2F6FA"/>
            <w:vAlign w:val="center"/>
          </w:tcPr>
          <w:p>
            <w:pPr>
              <w:spacing w:line="276" w:lineRule="auto" w:before="20" w:after="20"/>
              <w:jc w:val="center"/>
            </w:pPr>
            <w:r>
              <w:rPr>
                <w:rFonts w:ascii="Times New Roman" w:hAnsi="Times New Roman" w:eastAsia="宋体"/>
                <w:b w:val="0"/>
                <w:color w:val="000000"/>
                <w:sz w:val="19"/>
              </w:rPr>
              <w:t>成果包装</w:t>
            </w:r>
          </w:p>
        </w:tc>
        <w:tc>
          <w:tcPr>
            <w:tcW w:type="dxa" w:w="4354"/>
            <w:shd w:val="clear" w:color="auto" w:fill="F2F6FA"/>
            <w:vAlign w:val="center"/>
          </w:tcPr>
          <w:p>
            <w:pPr>
              <w:spacing w:line="276" w:lineRule="auto" w:before="20" w:after="20"/>
              <w:jc w:val="left"/>
            </w:pPr>
            <w:r>
              <w:rPr>
                <w:rFonts w:ascii="Times New Roman" w:hAnsi="Times New Roman" w:eastAsia="宋体"/>
                <w:b w:val="0"/>
                <w:color w:val="000000"/>
                <w:sz w:val="19"/>
              </w:rPr>
              <w:t>演示视频、PPT、计划书终稿、部署与答辩演练</w:t>
            </w:r>
          </w:p>
        </w:tc>
        <w:tc>
          <w:tcPr>
            <w:tcW w:type="dxa" w:w="2449"/>
            <w:shd w:val="clear" w:color="auto" w:fill="F2F6FA"/>
            <w:vAlign w:val="center"/>
          </w:tcPr>
          <w:p>
            <w:pPr>
              <w:spacing w:line="276" w:lineRule="auto" w:before="20" w:after="20"/>
              <w:jc w:val="left"/>
            </w:pPr>
            <w:r>
              <w:rPr>
                <w:rFonts w:ascii="Times New Roman" w:hAnsi="Times New Roman" w:eastAsia="宋体"/>
                <w:b w:val="0"/>
                <w:color w:val="000000"/>
                <w:sz w:val="19"/>
              </w:rPr>
              <w:t>全部交付物可现场演示</w:t>
            </w:r>
          </w:p>
        </w:tc>
      </w:tr>
    </w:tbl>
    <w:p>
      <w:pPr>
        <w:spacing w:line="324" w:lineRule="auto" w:after="40"/>
        <w:jc w:val="both"/>
      </w:pPr>
    </w:p>
    <w:p>
      <w:pPr>
        <w:pStyle w:val="Heading2"/>
        <w:keepNext/>
        <w:spacing w:before="200" w:after="80" w:line="288" w:lineRule="auto"/>
      </w:pPr>
      <w:r>
        <w:rPr>
          <w:rFonts w:ascii="Microsoft YaHei" w:hAnsi="Microsoft YaHei" w:eastAsia="微软雅黑"/>
          <w:b/>
          <w:color w:val="000000"/>
          <w:sz w:val="25"/>
        </w:rPr>
        <w:t>10.2 团队分工</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ayout w:type="fixed"/>
      </w:tblPr>
      <w:tblGrid>
        <w:gridCol w:w="3061"/>
        <w:gridCol w:w="3061"/>
        <w:gridCol w:w="3061"/>
      </w:tblGrid>
      <w:tr>
        <w:trPr>
          <w:tblHeader w:val="true"/>
        </w:trPr>
        <w:tc>
          <w:tcPr>
            <w:tcW w:type="dxa" w:w="2597"/>
            <w:shd w:val="clear" w:color="auto" w:fill="1F4E79"/>
            <w:vAlign w:val="center"/>
          </w:tcPr>
          <w:p>
            <w:pPr>
              <w:spacing w:line="276" w:lineRule="auto" w:before="20" w:after="20"/>
              <w:jc w:val="center"/>
            </w:pPr>
            <w:r>
              <w:rPr>
                <w:rFonts w:ascii="Times New Roman" w:hAnsi="Times New Roman" w:eastAsia="宋体"/>
                <w:b/>
                <w:color w:val="FFFFFF"/>
                <w:sz w:val="19"/>
              </w:rPr>
              <w:t>角色</w:t>
            </w:r>
          </w:p>
        </w:tc>
        <w:tc>
          <w:tcPr>
            <w:tcW w:type="dxa" w:w="1655"/>
            <w:shd w:val="clear" w:color="auto" w:fill="1F4E79"/>
            <w:vAlign w:val="center"/>
          </w:tcPr>
          <w:p>
            <w:pPr>
              <w:spacing w:line="276" w:lineRule="auto" w:before="20" w:after="20"/>
              <w:jc w:val="center"/>
            </w:pPr>
            <w:r>
              <w:rPr>
                <w:rFonts w:ascii="Times New Roman" w:hAnsi="Times New Roman" w:eastAsia="宋体"/>
                <w:b/>
                <w:color w:val="FFFFFF"/>
                <w:sz w:val="19"/>
              </w:rPr>
              <w:t>人数</w:t>
            </w:r>
          </w:p>
        </w:tc>
        <w:tc>
          <w:tcPr>
            <w:tcW w:type="dxa" w:w="4932"/>
            <w:shd w:val="clear" w:color="auto" w:fill="1F4E79"/>
            <w:vAlign w:val="center"/>
          </w:tcPr>
          <w:p>
            <w:pPr>
              <w:spacing w:line="276" w:lineRule="auto" w:before="20" w:after="20"/>
              <w:jc w:val="center"/>
            </w:pPr>
            <w:r>
              <w:rPr>
                <w:rFonts w:ascii="Times New Roman" w:hAnsi="Times New Roman" w:eastAsia="宋体"/>
                <w:b/>
                <w:color w:val="FFFFFF"/>
                <w:sz w:val="19"/>
              </w:rPr>
              <w:t>职责</w:t>
            </w:r>
          </w:p>
        </w:tc>
      </w:tr>
      <w:tr>
        <w:tc>
          <w:tcPr>
            <w:tcW w:type="dxa" w:w="2597"/>
            <w:vAlign w:val="center"/>
          </w:tcPr>
          <w:p>
            <w:pPr>
              <w:spacing w:line="276" w:lineRule="auto" w:before="20" w:after="20"/>
              <w:jc w:val="center"/>
            </w:pPr>
            <w:r>
              <w:rPr>
                <w:rFonts w:ascii="Times New Roman" w:hAnsi="Times New Roman" w:eastAsia="宋体"/>
                <w:b w:val="0"/>
                <w:color w:val="000000"/>
                <w:sz w:val="19"/>
              </w:rPr>
              <w:t>项目负责人与产品</w:t>
            </w:r>
          </w:p>
        </w:tc>
        <w:tc>
          <w:tcPr>
            <w:tcW w:type="dxa" w:w="1655"/>
            <w:vAlign w:val="center"/>
          </w:tcPr>
          <w:p>
            <w:pPr>
              <w:spacing w:line="276" w:lineRule="auto" w:before="20" w:after="20"/>
              <w:jc w:val="center"/>
            </w:pPr>
            <w:r>
              <w:rPr>
                <w:rFonts w:ascii="Times New Roman" w:hAnsi="Times New Roman" w:eastAsia="宋体"/>
                <w:b w:val="0"/>
                <w:color w:val="000000"/>
                <w:sz w:val="19"/>
              </w:rPr>
              <w:t>1</w:t>
            </w:r>
          </w:p>
        </w:tc>
        <w:tc>
          <w:tcPr>
            <w:tcW w:type="dxa" w:w="4932"/>
            <w:vAlign w:val="center"/>
          </w:tcPr>
          <w:p>
            <w:pPr>
              <w:spacing w:line="276" w:lineRule="auto" w:before="20" w:after="20"/>
              <w:jc w:val="left"/>
            </w:pPr>
            <w:r>
              <w:rPr>
                <w:rFonts w:ascii="Times New Roman" w:hAnsi="Times New Roman" w:eastAsia="宋体"/>
                <w:b w:val="0"/>
                <w:color w:val="000000"/>
                <w:sz w:val="19"/>
              </w:rPr>
              <w:t>需求、进度、答辩主线</w:t>
            </w:r>
          </w:p>
        </w:tc>
      </w:tr>
      <w:tr>
        <w:tc>
          <w:tcPr>
            <w:tcW w:type="dxa" w:w="2597"/>
            <w:shd w:val="clear" w:color="auto" w:fill="F2F6FA"/>
            <w:vAlign w:val="center"/>
          </w:tcPr>
          <w:p>
            <w:pPr>
              <w:spacing w:line="276" w:lineRule="auto" w:before="20" w:after="20"/>
              <w:jc w:val="center"/>
            </w:pPr>
            <w:r>
              <w:rPr>
                <w:rFonts w:ascii="Times New Roman" w:hAnsi="Times New Roman" w:eastAsia="宋体"/>
                <w:b w:val="0"/>
                <w:color w:val="000000"/>
                <w:sz w:val="19"/>
              </w:rPr>
              <w:t>后端与 Agent</w:t>
            </w:r>
          </w:p>
        </w:tc>
        <w:tc>
          <w:tcPr>
            <w:tcW w:type="dxa" w:w="1655"/>
            <w:shd w:val="clear" w:color="auto" w:fill="F2F6FA"/>
            <w:vAlign w:val="center"/>
          </w:tcPr>
          <w:p>
            <w:pPr>
              <w:spacing w:line="276" w:lineRule="auto" w:before="20" w:after="20"/>
              <w:jc w:val="center"/>
            </w:pPr>
            <w:r>
              <w:rPr>
                <w:rFonts w:ascii="Times New Roman" w:hAnsi="Times New Roman" w:eastAsia="宋体"/>
                <w:b w:val="0"/>
                <w:color w:val="000000"/>
                <w:sz w:val="19"/>
              </w:rPr>
              <w:t>1 至 2</w:t>
            </w:r>
          </w:p>
        </w:tc>
        <w:tc>
          <w:tcPr>
            <w:tcW w:type="dxa" w:w="4932"/>
            <w:shd w:val="clear" w:color="auto" w:fill="F2F6FA"/>
            <w:vAlign w:val="center"/>
          </w:tcPr>
          <w:p>
            <w:pPr>
              <w:spacing w:line="276" w:lineRule="auto" w:before="20" w:after="20"/>
              <w:jc w:val="left"/>
            </w:pPr>
            <w:r>
              <w:rPr>
                <w:rFonts w:ascii="Times New Roman" w:hAnsi="Times New Roman" w:eastAsia="宋体"/>
                <w:b w:val="0"/>
                <w:color w:val="000000"/>
                <w:sz w:val="19"/>
              </w:rPr>
              <w:t>FastAPI、LangGraph、模型接入、评测脚本</w:t>
            </w:r>
          </w:p>
        </w:tc>
      </w:tr>
      <w:tr>
        <w:tc>
          <w:tcPr>
            <w:tcW w:type="dxa" w:w="2597"/>
            <w:vAlign w:val="center"/>
          </w:tcPr>
          <w:p>
            <w:pPr>
              <w:spacing w:line="276" w:lineRule="auto" w:before="20" w:after="20"/>
              <w:jc w:val="center"/>
            </w:pPr>
            <w:r>
              <w:rPr>
                <w:rFonts w:ascii="Times New Roman" w:hAnsi="Times New Roman" w:eastAsia="宋体"/>
                <w:b w:val="0"/>
                <w:color w:val="000000"/>
                <w:sz w:val="19"/>
              </w:rPr>
              <w:t>知识库与数据</w:t>
            </w:r>
          </w:p>
        </w:tc>
        <w:tc>
          <w:tcPr>
            <w:tcW w:type="dxa" w:w="1655"/>
            <w:vAlign w:val="center"/>
          </w:tcPr>
          <w:p>
            <w:pPr>
              <w:spacing w:line="276" w:lineRule="auto" w:before="20" w:after="20"/>
              <w:jc w:val="center"/>
            </w:pPr>
            <w:r>
              <w:rPr>
                <w:rFonts w:ascii="Times New Roman" w:hAnsi="Times New Roman" w:eastAsia="宋体"/>
                <w:b w:val="0"/>
                <w:color w:val="000000"/>
                <w:sz w:val="19"/>
              </w:rPr>
              <w:t>1</w:t>
            </w:r>
          </w:p>
        </w:tc>
        <w:tc>
          <w:tcPr>
            <w:tcW w:type="dxa" w:w="4932"/>
            <w:vAlign w:val="center"/>
          </w:tcPr>
          <w:p>
            <w:pPr>
              <w:spacing w:line="276" w:lineRule="auto" w:before="20" w:after="20"/>
              <w:jc w:val="left"/>
            </w:pPr>
            <w:r>
              <w:rPr>
                <w:rFonts w:ascii="Times New Roman" w:hAnsi="Times New Roman" w:eastAsia="宋体"/>
                <w:b w:val="0"/>
                <w:color w:val="000000"/>
                <w:sz w:val="19"/>
              </w:rPr>
              <w:t>文档收集清洗、切片建库、测试集标注</w:t>
            </w:r>
          </w:p>
        </w:tc>
      </w:tr>
      <w:tr>
        <w:tc>
          <w:tcPr>
            <w:tcW w:type="dxa" w:w="2597"/>
            <w:shd w:val="clear" w:color="auto" w:fill="F2F6FA"/>
            <w:vAlign w:val="center"/>
          </w:tcPr>
          <w:p>
            <w:pPr>
              <w:spacing w:line="276" w:lineRule="auto" w:before="20" w:after="20"/>
              <w:jc w:val="center"/>
            </w:pPr>
            <w:r>
              <w:rPr>
                <w:rFonts w:ascii="Times New Roman" w:hAnsi="Times New Roman" w:eastAsia="宋体"/>
                <w:b w:val="0"/>
                <w:color w:val="000000"/>
                <w:sz w:val="19"/>
              </w:rPr>
              <w:t>前端</w:t>
            </w:r>
          </w:p>
        </w:tc>
        <w:tc>
          <w:tcPr>
            <w:tcW w:type="dxa" w:w="1655"/>
            <w:shd w:val="clear" w:color="auto" w:fill="F2F6FA"/>
            <w:vAlign w:val="center"/>
          </w:tcPr>
          <w:p>
            <w:pPr>
              <w:spacing w:line="276" w:lineRule="auto" w:before="20" w:after="20"/>
              <w:jc w:val="center"/>
            </w:pPr>
            <w:r>
              <w:rPr>
                <w:rFonts w:ascii="Times New Roman" w:hAnsi="Times New Roman" w:eastAsia="宋体"/>
                <w:b w:val="0"/>
                <w:color w:val="000000"/>
                <w:sz w:val="19"/>
              </w:rPr>
              <w:t>1</w:t>
            </w:r>
          </w:p>
        </w:tc>
        <w:tc>
          <w:tcPr>
            <w:tcW w:type="dxa" w:w="4932"/>
            <w:shd w:val="clear" w:color="auto" w:fill="F2F6FA"/>
            <w:vAlign w:val="center"/>
          </w:tcPr>
          <w:p>
            <w:pPr>
              <w:spacing w:line="276" w:lineRule="auto" w:before="20" w:after="20"/>
              <w:jc w:val="left"/>
            </w:pPr>
            <w:r>
              <w:rPr>
                <w:rFonts w:ascii="Times New Roman" w:hAnsi="Times New Roman" w:eastAsia="宋体"/>
                <w:b w:val="0"/>
                <w:color w:val="000000"/>
                <w:sz w:val="19"/>
              </w:rPr>
              <w:t>Vue 页面、交互、演示优化</w:t>
            </w:r>
          </w:p>
        </w:tc>
      </w:tr>
      <w:tr>
        <w:tc>
          <w:tcPr>
            <w:tcW w:type="dxa" w:w="2597"/>
            <w:vAlign w:val="center"/>
          </w:tcPr>
          <w:p>
            <w:pPr>
              <w:spacing w:line="276" w:lineRule="auto" w:before="20" w:after="20"/>
              <w:jc w:val="center"/>
            </w:pPr>
            <w:r>
              <w:rPr>
                <w:rFonts w:ascii="Times New Roman" w:hAnsi="Times New Roman" w:eastAsia="宋体"/>
                <w:b w:val="0"/>
                <w:color w:val="000000"/>
                <w:sz w:val="19"/>
              </w:rPr>
              <w:t>测试与文档</w:t>
            </w:r>
          </w:p>
        </w:tc>
        <w:tc>
          <w:tcPr>
            <w:tcW w:type="dxa" w:w="1655"/>
            <w:vAlign w:val="center"/>
          </w:tcPr>
          <w:p>
            <w:pPr>
              <w:spacing w:line="276" w:lineRule="auto" w:before="20" w:after="20"/>
              <w:jc w:val="center"/>
            </w:pPr>
            <w:r>
              <w:rPr>
                <w:rFonts w:ascii="Times New Roman" w:hAnsi="Times New Roman" w:eastAsia="宋体"/>
                <w:b w:val="0"/>
                <w:color w:val="000000"/>
                <w:sz w:val="19"/>
              </w:rPr>
              <w:t>1，可兼任</w:t>
            </w:r>
          </w:p>
        </w:tc>
        <w:tc>
          <w:tcPr>
            <w:tcW w:type="dxa" w:w="4932"/>
            <w:vAlign w:val="center"/>
          </w:tcPr>
          <w:p>
            <w:pPr>
              <w:spacing w:line="276" w:lineRule="auto" w:before="20" w:after="20"/>
              <w:jc w:val="left"/>
            </w:pPr>
            <w:r>
              <w:rPr>
                <w:rFonts w:ascii="Times New Roman" w:hAnsi="Times New Roman" w:eastAsia="宋体"/>
                <w:b w:val="0"/>
                <w:color w:val="000000"/>
                <w:sz w:val="19"/>
              </w:rPr>
              <w:t>评测回归、计划书、视频、PPT</w:t>
            </w:r>
          </w:p>
        </w:tc>
      </w:tr>
    </w:tbl>
    <w:p>
      <w:pPr>
        <w:spacing w:line="324" w:lineRule="auto" w:after="40"/>
        <w:jc w:val="both"/>
      </w:pPr>
    </w:p>
    <w:p>
      <w:pPr>
        <w:spacing w:line="324" w:lineRule="auto" w:after="100"/>
        <w:jc w:val="both"/>
      </w:pPr>
      <w:r>
        <w:rPr>
          <w:rFonts w:ascii="Times New Roman" w:hAnsi="Times New Roman" w:eastAsia="宋体"/>
          <w:b w:val="0"/>
          <w:color w:val="000000"/>
          <w:sz w:val="22"/>
        </w:rPr>
        <w:t>具体人数按实际团队调整：5 人最完整，3 人可运行，项目负责人兼任文档。</w:t>
      </w:r>
    </w:p>
    <w:p>
      <w:pPr>
        <w:pStyle w:val="Heading2"/>
        <w:keepNext/>
        <w:spacing w:before="200" w:after="80" w:line="288" w:lineRule="auto"/>
      </w:pPr>
      <w:r>
        <w:rPr>
          <w:rFonts w:ascii="Microsoft YaHei" w:hAnsi="Microsoft YaHei" w:eastAsia="微软雅黑"/>
          <w:b/>
          <w:color w:val="000000"/>
          <w:sz w:val="25"/>
        </w:rPr>
        <w:t>10.3 协作约定</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Git 分支管理：main 只接收通过测试的合并，功能开发使用 feature 分支。</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每周运行一次评测回归，结果记录到评测报告。</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关键技术决策写入文档并同步给全员。</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首日任务为注册阿里云百炼与智谱账号、确认 API Key、初始化仓库、安装 Python 3.11 和 Node.js 环境。</w:t>
      </w:r>
    </w:p>
    <w:p>
      <w:pPr>
        <w:pStyle w:val="Heading1"/>
        <w:keepNext/>
        <w:spacing w:before="280" w:after="120" w:line="288" w:lineRule="auto"/>
      </w:pPr>
      <w:r>
        <w:rPr>
          <w:rFonts w:ascii="Microsoft YaHei" w:hAnsi="Microsoft YaHei" w:eastAsia="微软雅黑"/>
          <w:b/>
          <w:color w:val="000000"/>
          <w:sz w:val="30"/>
        </w:rPr>
        <w:t>十一、成本与资源</w:t>
      </w:r>
    </w:p>
    <w:p>
      <w:pPr>
        <w:pStyle w:val="Heading2"/>
        <w:keepNext/>
        <w:spacing w:before="200" w:after="80" w:line="288" w:lineRule="auto"/>
      </w:pPr>
      <w:r>
        <w:rPr>
          <w:rFonts w:ascii="Microsoft YaHei" w:hAnsi="Microsoft YaHei" w:eastAsia="微软雅黑"/>
          <w:b/>
          <w:color w:val="000000"/>
          <w:sz w:val="25"/>
        </w:rPr>
        <w:t>11.1 成本估算</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ayout w:type="fixed"/>
      </w:tblPr>
      <w:tblGrid>
        <w:gridCol w:w="3061"/>
        <w:gridCol w:w="3061"/>
        <w:gridCol w:w="3061"/>
      </w:tblGrid>
      <w:tr>
        <w:trPr>
          <w:tblHeader w:val="true"/>
        </w:trPr>
        <w:tc>
          <w:tcPr>
            <w:tcW w:type="dxa" w:w="3039"/>
            <w:shd w:val="clear" w:color="auto" w:fill="1F4E79"/>
            <w:vAlign w:val="center"/>
          </w:tcPr>
          <w:p>
            <w:pPr>
              <w:spacing w:line="276" w:lineRule="auto" w:before="20" w:after="20"/>
              <w:jc w:val="center"/>
            </w:pPr>
            <w:r>
              <w:rPr>
                <w:rFonts w:ascii="Times New Roman" w:hAnsi="Times New Roman" w:eastAsia="宋体"/>
                <w:b/>
                <w:color w:val="FFFFFF"/>
                <w:sz w:val="19"/>
              </w:rPr>
              <w:t>项目</w:t>
            </w:r>
          </w:p>
        </w:tc>
        <w:tc>
          <w:tcPr>
            <w:tcW w:type="dxa" w:w="1826"/>
            <w:shd w:val="clear" w:color="auto" w:fill="1F4E79"/>
            <w:vAlign w:val="center"/>
          </w:tcPr>
          <w:p>
            <w:pPr>
              <w:spacing w:line="276" w:lineRule="auto" w:before="20" w:after="20"/>
              <w:jc w:val="center"/>
            </w:pPr>
            <w:r>
              <w:rPr>
                <w:rFonts w:ascii="Times New Roman" w:hAnsi="Times New Roman" w:eastAsia="宋体"/>
                <w:b/>
                <w:color w:val="FFFFFF"/>
                <w:sz w:val="19"/>
              </w:rPr>
              <w:t>用途</w:t>
            </w:r>
          </w:p>
        </w:tc>
        <w:tc>
          <w:tcPr>
            <w:tcW w:type="dxa" w:w="4320"/>
            <w:shd w:val="clear" w:color="auto" w:fill="1F4E79"/>
            <w:vAlign w:val="center"/>
          </w:tcPr>
          <w:p>
            <w:pPr>
              <w:spacing w:line="276" w:lineRule="auto" w:before="20" w:after="20"/>
              <w:jc w:val="center"/>
            </w:pPr>
            <w:r>
              <w:rPr>
                <w:rFonts w:ascii="Times New Roman" w:hAnsi="Times New Roman" w:eastAsia="宋体"/>
                <w:b/>
                <w:color w:val="FFFFFF"/>
                <w:sz w:val="19"/>
              </w:rPr>
              <w:t>费用估算</w:t>
            </w:r>
          </w:p>
        </w:tc>
      </w:tr>
      <w:tr>
        <w:tc>
          <w:tcPr>
            <w:tcW w:type="dxa" w:w="3039"/>
            <w:vAlign w:val="center"/>
          </w:tcPr>
          <w:p>
            <w:pPr>
              <w:spacing w:line="276" w:lineRule="auto" w:before="20" w:after="20"/>
              <w:jc w:val="left"/>
            </w:pPr>
            <w:r>
              <w:rPr>
                <w:rFonts w:ascii="Times New Roman" w:hAnsi="Times New Roman" w:eastAsia="宋体"/>
                <w:b w:val="0"/>
                <w:color w:val="000000"/>
                <w:sz w:val="19"/>
              </w:rPr>
              <w:t>视觉与文本 API</w:t>
            </w:r>
          </w:p>
        </w:tc>
        <w:tc>
          <w:tcPr>
            <w:tcW w:type="dxa" w:w="1826"/>
            <w:vAlign w:val="center"/>
          </w:tcPr>
          <w:p>
            <w:pPr>
              <w:spacing w:line="276" w:lineRule="auto" w:before="20" w:after="20"/>
              <w:jc w:val="center"/>
            </w:pPr>
            <w:r>
              <w:rPr>
                <w:rFonts w:ascii="Times New Roman" w:hAnsi="Times New Roman" w:eastAsia="宋体"/>
                <w:b w:val="0"/>
                <w:color w:val="000000"/>
                <w:sz w:val="19"/>
              </w:rPr>
              <w:t>开发与评测调用</w:t>
            </w:r>
          </w:p>
        </w:tc>
        <w:tc>
          <w:tcPr>
            <w:tcW w:type="dxa" w:w="4320"/>
            <w:vAlign w:val="center"/>
          </w:tcPr>
          <w:p>
            <w:pPr>
              <w:spacing w:line="276" w:lineRule="auto" w:before="20" w:after="20"/>
              <w:jc w:val="left"/>
            </w:pPr>
            <w:r>
              <w:rPr>
                <w:rFonts w:ascii="Times New Roman" w:hAnsi="Times New Roman" w:eastAsia="宋体"/>
                <w:b w:val="0"/>
                <w:color w:val="000000"/>
                <w:sz w:val="19"/>
              </w:rPr>
              <w:t>免费额度为主，预计 0 至 200 元</w:t>
            </w:r>
          </w:p>
        </w:tc>
      </w:tr>
      <w:tr>
        <w:tc>
          <w:tcPr>
            <w:tcW w:type="dxa" w:w="3039"/>
            <w:shd w:val="clear" w:color="auto" w:fill="F2F6FA"/>
            <w:vAlign w:val="center"/>
          </w:tcPr>
          <w:p>
            <w:pPr>
              <w:spacing w:line="276" w:lineRule="auto" w:before="20" w:after="20"/>
              <w:jc w:val="left"/>
            </w:pPr>
            <w:r>
              <w:rPr>
                <w:rFonts w:ascii="Times New Roman" w:hAnsi="Times New Roman" w:eastAsia="宋体"/>
                <w:b w:val="0"/>
                <w:color w:val="000000"/>
                <w:sz w:val="19"/>
              </w:rPr>
              <w:t>Embedding API</w:t>
            </w:r>
          </w:p>
        </w:tc>
        <w:tc>
          <w:tcPr>
            <w:tcW w:type="dxa" w:w="1826"/>
            <w:shd w:val="clear" w:color="auto" w:fill="F2F6FA"/>
            <w:vAlign w:val="center"/>
          </w:tcPr>
          <w:p>
            <w:pPr>
              <w:spacing w:line="276" w:lineRule="auto" w:before="20" w:after="20"/>
              <w:jc w:val="center"/>
            </w:pPr>
            <w:r>
              <w:rPr>
                <w:rFonts w:ascii="Times New Roman" w:hAnsi="Times New Roman" w:eastAsia="宋体"/>
                <w:b w:val="0"/>
                <w:color w:val="000000"/>
                <w:sz w:val="19"/>
              </w:rPr>
              <w:t>建库与检索</w:t>
            </w:r>
          </w:p>
        </w:tc>
        <w:tc>
          <w:tcPr>
            <w:tcW w:type="dxa" w:w="4320"/>
            <w:shd w:val="clear" w:color="auto" w:fill="F2F6FA"/>
            <w:vAlign w:val="center"/>
          </w:tcPr>
          <w:p>
            <w:pPr>
              <w:spacing w:line="276" w:lineRule="auto" w:before="20" w:after="20"/>
              <w:jc w:val="left"/>
            </w:pPr>
            <w:r>
              <w:rPr>
                <w:rFonts w:ascii="Times New Roman" w:hAnsi="Times New Roman" w:eastAsia="宋体"/>
                <w:b w:val="0"/>
                <w:color w:val="000000"/>
                <w:sz w:val="19"/>
              </w:rPr>
              <w:t>免费额度内，预计 0 至 50 元</w:t>
            </w:r>
          </w:p>
        </w:tc>
      </w:tr>
      <w:tr>
        <w:tc>
          <w:tcPr>
            <w:tcW w:type="dxa" w:w="3039"/>
            <w:vAlign w:val="center"/>
          </w:tcPr>
          <w:p>
            <w:pPr>
              <w:spacing w:line="276" w:lineRule="auto" w:before="20" w:after="20"/>
              <w:jc w:val="left"/>
            </w:pPr>
            <w:r>
              <w:rPr>
                <w:rFonts w:ascii="Times New Roman" w:hAnsi="Times New Roman" w:eastAsia="宋体"/>
                <w:b w:val="0"/>
                <w:color w:val="000000"/>
                <w:sz w:val="19"/>
              </w:rPr>
              <w:t>云服务器，可选</w:t>
            </w:r>
          </w:p>
        </w:tc>
        <w:tc>
          <w:tcPr>
            <w:tcW w:type="dxa" w:w="1826"/>
            <w:vAlign w:val="center"/>
          </w:tcPr>
          <w:p>
            <w:pPr>
              <w:spacing w:line="276" w:lineRule="auto" w:before="20" w:after="20"/>
              <w:jc w:val="center"/>
            </w:pPr>
            <w:r>
              <w:rPr>
                <w:rFonts w:ascii="Times New Roman" w:hAnsi="Times New Roman" w:eastAsia="宋体"/>
                <w:b w:val="0"/>
                <w:color w:val="000000"/>
                <w:sz w:val="19"/>
              </w:rPr>
              <w:t>在线演示</w:t>
            </w:r>
          </w:p>
        </w:tc>
        <w:tc>
          <w:tcPr>
            <w:tcW w:type="dxa" w:w="4320"/>
            <w:vAlign w:val="center"/>
          </w:tcPr>
          <w:p>
            <w:pPr>
              <w:spacing w:line="276" w:lineRule="auto" w:before="20" w:after="20"/>
              <w:jc w:val="left"/>
            </w:pPr>
            <w:r>
              <w:rPr>
                <w:rFonts w:ascii="Times New Roman" w:hAnsi="Times New Roman" w:eastAsia="宋体"/>
                <w:b w:val="0"/>
                <w:color w:val="000000"/>
                <w:sz w:val="19"/>
              </w:rPr>
              <w:t>学生优惠轻量服务器，约 50 至 150 元</w:t>
            </w:r>
          </w:p>
        </w:tc>
      </w:tr>
      <w:tr>
        <w:tc>
          <w:tcPr>
            <w:tcW w:type="dxa" w:w="3039"/>
            <w:shd w:val="clear" w:color="auto" w:fill="F2F6FA"/>
            <w:vAlign w:val="center"/>
          </w:tcPr>
          <w:p>
            <w:pPr>
              <w:spacing w:line="276" w:lineRule="auto" w:before="20" w:after="20"/>
              <w:jc w:val="left"/>
            </w:pPr>
            <w:r>
              <w:rPr>
                <w:rFonts w:ascii="Times New Roman" w:hAnsi="Times New Roman" w:eastAsia="宋体"/>
                <w:b w:val="0"/>
                <w:color w:val="000000"/>
                <w:sz w:val="19"/>
              </w:rPr>
              <w:t>软件与框架</w:t>
            </w:r>
          </w:p>
        </w:tc>
        <w:tc>
          <w:tcPr>
            <w:tcW w:type="dxa" w:w="1826"/>
            <w:shd w:val="clear" w:color="auto" w:fill="F2F6FA"/>
            <w:vAlign w:val="center"/>
          </w:tcPr>
          <w:p>
            <w:pPr>
              <w:spacing w:line="276" w:lineRule="auto" w:before="20" w:after="20"/>
              <w:jc w:val="center"/>
            </w:pPr>
            <w:r>
              <w:rPr>
                <w:rFonts w:ascii="Times New Roman" w:hAnsi="Times New Roman" w:eastAsia="宋体"/>
                <w:b w:val="0"/>
                <w:color w:val="000000"/>
                <w:sz w:val="19"/>
              </w:rPr>
              <w:t>全链路开发</w:t>
            </w:r>
          </w:p>
        </w:tc>
        <w:tc>
          <w:tcPr>
            <w:tcW w:type="dxa" w:w="4320"/>
            <w:shd w:val="clear" w:color="auto" w:fill="F2F6FA"/>
            <w:vAlign w:val="center"/>
          </w:tcPr>
          <w:p>
            <w:pPr>
              <w:spacing w:line="276" w:lineRule="auto" w:before="20" w:after="20"/>
              <w:jc w:val="left"/>
            </w:pPr>
            <w:r>
              <w:rPr>
                <w:rFonts w:ascii="Times New Roman" w:hAnsi="Times New Roman" w:eastAsia="宋体"/>
                <w:b w:val="0"/>
                <w:color w:val="000000"/>
                <w:sz w:val="19"/>
              </w:rPr>
              <w:t>开源免费</w:t>
            </w:r>
          </w:p>
        </w:tc>
      </w:tr>
      <w:tr>
        <w:tc>
          <w:tcPr>
            <w:tcW w:type="dxa" w:w="3039"/>
            <w:vAlign w:val="center"/>
          </w:tcPr>
          <w:p>
            <w:pPr>
              <w:spacing w:line="276" w:lineRule="auto" w:before="20" w:after="20"/>
              <w:jc w:val="left"/>
            </w:pPr>
            <w:r>
              <w:rPr>
                <w:rFonts w:ascii="Times New Roman" w:hAnsi="Times New Roman" w:eastAsia="宋体"/>
                <w:b w:val="0"/>
                <w:color w:val="000000"/>
                <w:sz w:val="19"/>
              </w:rPr>
              <w:t>其他</w:t>
            </w:r>
          </w:p>
        </w:tc>
        <w:tc>
          <w:tcPr>
            <w:tcW w:type="dxa" w:w="1826"/>
            <w:vAlign w:val="center"/>
          </w:tcPr>
          <w:p>
            <w:pPr>
              <w:spacing w:line="276" w:lineRule="auto" w:before="20" w:after="20"/>
              <w:jc w:val="center"/>
            </w:pPr>
            <w:r>
              <w:rPr>
                <w:rFonts w:ascii="Times New Roman" w:hAnsi="Times New Roman" w:eastAsia="宋体"/>
                <w:b w:val="0"/>
                <w:color w:val="000000"/>
                <w:sz w:val="19"/>
              </w:rPr>
              <w:t>拍摄素材与存储</w:t>
            </w:r>
          </w:p>
        </w:tc>
        <w:tc>
          <w:tcPr>
            <w:tcW w:type="dxa" w:w="4320"/>
            <w:vAlign w:val="center"/>
          </w:tcPr>
          <w:p>
            <w:pPr>
              <w:spacing w:line="276" w:lineRule="auto" w:before="20" w:after="20"/>
              <w:jc w:val="left"/>
            </w:pPr>
            <w:r>
              <w:rPr>
                <w:rFonts w:ascii="Times New Roman" w:hAnsi="Times New Roman" w:eastAsia="宋体"/>
                <w:b w:val="0"/>
                <w:color w:val="000000"/>
                <w:sz w:val="19"/>
              </w:rPr>
              <w:t>0 至 50 元</w:t>
            </w:r>
          </w:p>
        </w:tc>
      </w:tr>
    </w:tbl>
    <w:p>
      <w:pPr>
        <w:spacing w:line="324" w:lineRule="auto" w:after="40"/>
        <w:jc w:val="both"/>
      </w:pPr>
    </w:p>
    <w:p>
      <w:pPr>
        <w:spacing w:line="324" w:lineRule="auto" w:after="100"/>
        <w:jc w:val="both"/>
      </w:pPr>
      <w:r>
        <w:rPr>
          <w:rFonts w:ascii="Times New Roman" w:hAnsi="Times New Roman" w:eastAsia="宋体"/>
          <w:b w:val="0"/>
          <w:color w:val="000000"/>
          <w:sz w:val="22"/>
        </w:rPr>
        <w:t>预计总预算 0 至 500 元，本地开发演示可低至 0 元。</w:t>
      </w:r>
    </w:p>
    <w:p>
      <w:pPr>
        <w:pStyle w:val="Heading2"/>
        <w:keepNext/>
        <w:spacing w:before="200" w:after="80" w:line="288" w:lineRule="auto"/>
      </w:pPr>
      <w:r>
        <w:rPr>
          <w:rFonts w:ascii="Microsoft YaHei" w:hAnsi="Microsoft YaHei" w:eastAsia="微软雅黑"/>
          <w:b/>
          <w:color w:val="000000"/>
          <w:sz w:val="25"/>
        </w:rPr>
        <w:t>11.2 设备要求</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开发机：Windows、macOS 或 Linux，16GB 内存，20GB 可用磁盘，无 GPU 也可完成。</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演示环境：Chrome 或 Edge 浏览器，可选用云服务器提供在线访问。</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本地小模型为可选能力：建议 8GB 显存以上 NVIDIA GPU，但不阻塞主线开发。</w:t>
      </w:r>
    </w:p>
    <w:p>
      <w:pPr>
        <w:pStyle w:val="Heading1"/>
        <w:keepNext/>
        <w:spacing w:before="280" w:after="120" w:line="288" w:lineRule="auto"/>
      </w:pPr>
      <w:r>
        <w:rPr>
          <w:rFonts w:ascii="Microsoft YaHei" w:hAnsi="Microsoft YaHei" w:eastAsia="微软雅黑"/>
          <w:b/>
          <w:color w:val="000000"/>
          <w:sz w:val="30"/>
        </w:rPr>
        <w:t>十二、风险与对策</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10" w:type="dxa"/>
          <w:bottom w:w="60" w:type="dxa"/>
          <w:right w:w="110" w:type="dxa"/>
        </w:tblCellMar>
        <w:tblLayout w:type="fixed"/>
      </w:tblPr>
      <w:tblGrid>
        <w:gridCol w:w="3061"/>
        <w:gridCol w:w="3061"/>
        <w:gridCol w:w="3061"/>
      </w:tblGrid>
      <w:tr>
        <w:trPr>
          <w:tblHeader w:val="true"/>
        </w:trPr>
        <w:tc>
          <w:tcPr>
            <w:tcW w:type="dxa" w:w="2251"/>
            <w:shd w:val="clear" w:color="auto" w:fill="1F4E79"/>
            <w:vAlign w:val="center"/>
          </w:tcPr>
          <w:p>
            <w:pPr>
              <w:spacing w:line="276" w:lineRule="auto" w:before="20" w:after="20"/>
              <w:jc w:val="center"/>
            </w:pPr>
            <w:r>
              <w:rPr>
                <w:rFonts w:ascii="Times New Roman" w:hAnsi="Times New Roman" w:eastAsia="宋体"/>
                <w:b/>
                <w:color w:val="FFFFFF"/>
                <w:sz w:val="19"/>
              </w:rPr>
              <w:t>风险</w:t>
            </w:r>
          </w:p>
        </w:tc>
        <w:tc>
          <w:tcPr>
            <w:tcW w:type="dxa" w:w="1689"/>
            <w:shd w:val="clear" w:color="auto" w:fill="1F4E79"/>
            <w:vAlign w:val="center"/>
          </w:tcPr>
          <w:p>
            <w:pPr>
              <w:spacing w:line="276" w:lineRule="auto" w:before="20" w:after="20"/>
              <w:jc w:val="center"/>
            </w:pPr>
            <w:r>
              <w:rPr>
                <w:rFonts w:ascii="Times New Roman" w:hAnsi="Times New Roman" w:eastAsia="宋体"/>
                <w:b/>
                <w:color w:val="FFFFFF"/>
                <w:sz w:val="19"/>
              </w:rPr>
              <w:t>影响</w:t>
            </w:r>
          </w:p>
        </w:tc>
        <w:tc>
          <w:tcPr>
            <w:tcW w:type="dxa" w:w="5250"/>
            <w:shd w:val="clear" w:color="auto" w:fill="1F4E79"/>
            <w:vAlign w:val="center"/>
          </w:tcPr>
          <w:p>
            <w:pPr>
              <w:spacing w:line="276" w:lineRule="auto" w:before="20" w:after="20"/>
              <w:jc w:val="center"/>
            </w:pPr>
            <w:r>
              <w:rPr>
                <w:rFonts w:ascii="Times New Roman" w:hAnsi="Times New Roman" w:eastAsia="宋体"/>
                <w:b/>
                <w:color w:val="FFFFFF"/>
                <w:sz w:val="19"/>
              </w:rPr>
              <w:t>对策</w:t>
            </w:r>
          </w:p>
        </w:tc>
      </w:tr>
      <w:tr>
        <w:tc>
          <w:tcPr>
            <w:tcW w:type="dxa" w:w="2251"/>
            <w:vAlign w:val="center"/>
          </w:tcPr>
          <w:p>
            <w:pPr>
              <w:spacing w:line="276" w:lineRule="auto" w:before="20" w:after="20"/>
              <w:jc w:val="left"/>
            </w:pPr>
            <w:r>
              <w:rPr>
                <w:rFonts w:ascii="Times New Roman" w:hAnsi="Times New Roman" w:eastAsia="宋体"/>
                <w:b w:val="0"/>
                <w:color w:val="000000"/>
                <w:sz w:val="19"/>
              </w:rPr>
              <w:t>API 免费额度不足</w:t>
            </w:r>
          </w:p>
        </w:tc>
        <w:tc>
          <w:tcPr>
            <w:tcW w:type="dxa" w:w="1689"/>
            <w:vAlign w:val="center"/>
          </w:tcPr>
          <w:p>
            <w:pPr>
              <w:spacing w:line="276" w:lineRule="auto" w:before="20" w:after="20"/>
              <w:jc w:val="center"/>
            </w:pPr>
            <w:r>
              <w:rPr>
                <w:rFonts w:ascii="Times New Roman" w:hAnsi="Times New Roman" w:eastAsia="宋体"/>
                <w:b w:val="0"/>
                <w:color w:val="000000"/>
                <w:sz w:val="19"/>
              </w:rPr>
              <w:t>开发与评测中断</w:t>
            </w:r>
          </w:p>
        </w:tc>
        <w:tc>
          <w:tcPr>
            <w:tcW w:type="dxa" w:w="5250"/>
            <w:vAlign w:val="center"/>
          </w:tcPr>
          <w:p>
            <w:pPr>
              <w:spacing w:line="276" w:lineRule="auto" w:before="20" w:after="20"/>
              <w:jc w:val="left"/>
            </w:pPr>
            <w:r>
              <w:rPr>
                <w:rFonts w:ascii="Times New Roman" w:hAnsi="Times New Roman" w:eastAsia="宋体"/>
                <w:b w:val="0"/>
                <w:color w:val="000000"/>
                <w:sz w:val="19"/>
              </w:rPr>
              <w:t>多模型 provider 抽象、GLM 免费接口备选、控制评测成本、缓存图片结果</w:t>
            </w:r>
          </w:p>
        </w:tc>
      </w:tr>
      <w:tr>
        <w:tc>
          <w:tcPr>
            <w:tcW w:type="dxa" w:w="2251"/>
            <w:shd w:val="clear" w:color="auto" w:fill="F2F6FA"/>
            <w:vAlign w:val="center"/>
          </w:tcPr>
          <w:p>
            <w:pPr>
              <w:spacing w:line="276" w:lineRule="auto" w:before="20" w:after="20"/>
              <w:jc w:val="left"/>
            </w:pPr>
            <w:r>
              <w:rPr>
                <w:rFonts w:ascii="Times New Roman" w:hAnsi="Times New Roman" w:eastAsia="宋体"/>
                <w:b w:val="0"/>
                <w:color w:val="000000"/>
                <w:sz w:val="19"/>
              </w:rPr>
              <w:t>视觉识别误判</w:t>
            </w:r>
          </w:p>
        </w:tc>
        <w:tc>
          <w:tcPr>
            <w:tcW w:type="dxa" w:w="1689"/>
            <w:shd w:val="clear" w:color="auto" w:fill="F2F6FA"/>
            <w:vAlign w:val="center"/>
          </w:tcPr>
          <w:p>
            <w:pPr>
              <w:spacing w:line="276" w:lineRule="auto" w:before="20" w:after="20"/>
              <w:jc w:val="center"/>
            </w:pPr>
            <w:r>
              <w:rPr>
                <w:rFonts w:ascii="Times New Roman" w:hAnsi="Times New Roman" w:eastAsia="宋体"/>
                <w:b w:val="0"/>
                <w:color w:val="000000"/>
                <w:sz w:val="19"/>
              </w:rPr>
              <w:t>结论不可靠</w:t>
            </w:r>
          </w:p>
        </w:tc>
        <w:tc>
          <w:tcPr>
            <w:tcW w:type="dxa" w:w="5250"/>
            <w:shd w:val="clear" w:color="auto" w:fill="F2F6FA"/>
            <w:vAlign w:val="center"/>
          </w:tcPr>
          <w:p>
            <w:pPr>
              <w:spacing w:line="276" w:lineRule="auto" w:before="20" w:after="20"/>
              <w:jc w:val="left"/>
            </w:pPr>
            <w:r>
              <w:rPr>
                <w:rFonts w:ascii="Times New Roman" w:hAnsi="Times New Roman" w:eastAsia="宋体"/>
                <w:b w:val="0"/>
                <w:color w:val="000000"/>
                <w:sz w:val="19"/>
              </w:rPr>
              <w:t>文字双模态、追问、低置信转人工、评测集回归</w:t>
            </w:r>
          </w:p>
        </w:tc>
      </w:tr>
      <w:tr>
        <w:tc>
          <w:tcPr>
            <w:tcW w:type="dxa" w:w="2251"/>
            <w:vAlign w:val="center"/>
          </w:tcPr>
          <w:p>
            <w:pPr>
              <w:spacing w:line="276" w:lineRule="auto" w:before="20" w:after="20"/>
              <w:jc w:val="left"/>
            </w:pPr>
            <w:r>
              <w:rPr>
                <w:rFonts w:ascii="Times New Roman" w:hAnsi="Times New Roman" w:eastAsia="宋体"/>
                <w:b w:val="0"/>
                <w:color w:val="000000"/>
                <w:sz w:val="19"/>
              </w:rPr>
              <w:t>法规条款过期</w:t>
            </w:r>
          </w:p>
        </w:tc>
        <w:tc>
          <w:tcPr>
            <w:tcW w:type="dxa" w:w="1689"/>
            <w:vAlign w:val="center"/>
          </w:tcPr>
          <w:p>
            <w:pPr>
              <w:spacing w:line="276" w:lineRule="auto" w:before="20" w:after="20"/>
              <w:jc w:val="center"/>
            </w:pPr>
            <w:r>
              <w:rPr>
                <w:rFonts w:ascii="Times New Roman" w:hAnsi="Times New Roman" w:eastAsia="宋体"/>
                <w:b w:val="0"/>
                <w:color w:val="000000"/>
                <w:sz w:val="19"/>
              </w:rPr>
              <w:t>引用失效</w:t>
            </w:r>
          </w:p>
        </w:tc>
        <w:tc>
          <w:tcPr>
            <w:tcW w:type="dxa" w:w="5250"/>
            <w:vAlign w:val="center"/>
          </w:tcPr>
          <w:p>
            <w:pPr>
              <w:spacing w:line="276" w:lineRule="auto" w:before="20" w:after="20"/>
              <w:jc w:val="left"/>
            </w:pPr>
            <w:r>
              <w:rPr>
                <w:rFonts w:ascii="Times New Roman" w:hAnsi="Times New Roman" w:eastAsia="宋体"/>
                <w:b w:val="0"/>
                <w:color w:val="000000"/>
                <w:sz w:val="19"/>
              </w:rPr>
              <w:t>记录版本与采集日期、人工审核发布、检索时过滤失效版本</w:t>
            </w:r>
          </w:p>
        </w:tc>
      </w:tr>
      <w:tr>
        <w:tc>
          <w:tcPr>
            <w:tcW w:type="dxa" w:w="2251"/>
            <w:shd w:val="clear" w:color="auto" w:fill="F2F6FA"/>
            <w:vAlign w:val="center"/>
          </w:tcPr>
          <w:p>
            <w:pPr>
              <w:spacing w:line="276" w:lineRule="auto" w:before="20" w:after="20"/>
              <w:jc w:val="left"/>
            </w:pPr>
            <w:r>
              <w:rPr>
                <w:rFonts w:ascii="Times New Roman" w:hAnsi="Times New Roman" w:eastAsia="宋体"/>
                <w:b w:val="0"/>
                <w:color w:val="000000"/>
                <w:sz w:val="19"/>
              </w:rPr>
              <w:t>法律术语误用</w:t>
            </w:r>
          </w:p>
        </w:tc>
        <w:tc>
          <w:tcPr>
            <w:tcW w:type="dxa" w:w="1689"/>
            <w:shd w:val="clear" w:color="auto" w:fill="F2F6FA"/>
            <w:vAlign w:val="center"/>
          </w:tcPr>
          <w:p>
            <w:pPr>
              <w:spacing w:line="276" w:lineRule="auto" w:before="20" w:after="20"/>
              <w:jc w:val="center"/>
            </w:pPr>
            <w:r>
              <w:rPr>
                <w:rFonts w:ascii="Times New Roman" w:hAnsi="Times New Roman" w:eastAsia="宋体"/>
                <w:b w:val="0"/>
                <w:color w:val="000000"/>
                <w:sz w:val="19"/>
              </w:rPr>
              <w:t>专业性质疑</w:t>
            </w:r>
          </w:p>
        </w:tc>
        <w:tc>
          <w:tcPr>
            <w:tcW w:type="dxa" w:w="5250"/>
            <w:shd w:val="clear" w:color="auto" w:fill="F2F6FA"/>
            <w:vAlign w:val="center"/>
          </w:tcPr>
          <w:p>
            <w:pPr>
              <w:spacing w:line="276" w:lineRule="auto" w:before="20" w:after="20"/>
              <w:jc w:val="left"/>
            </w:pPr>
            <w:r>
              <w:rPr>
                <w:rFonts w:ascii="Times New Roman" w:hAnsi="Times New Roman" w:eastAsia="宋体"/>
                <w:b w:val="0"/>
                <w:color w:val="000000"/>
                <w:sz w:val="19"/>
              </w:rPr>
              <w:t>采用法定分类、引用原文、页面标注辅助定位</w:t>
            </w:r>
          </w:p>
        </w:tc>
      </w:tr>
      <w:tr>
        <w:tc>
          <w:tcPr>
            <w:tcW w:type="dxa" w:w="2251"/>
            <w:vAlign w:val="center"/>
          </w:tcPr>
          <w:p>
            <w:pPr>
              <w:spacing w:line="276" w:lineRule="auto" w:before="20" w:after="20"/>
              <w:jc w:val="left"/>
            </w:pPr>
            <w:r>
              <w:rPr>
                <w:rFonts w:ascii="Times New Roman" w:hAnsi="Times New Roman" w:eastAsia="宋体"/>
                <w:b w:val="0"/>
                <w:color w:val="000000"/>
                <w:sz w:val="19"/>
              </w:rPr>
              <w:t>图片隐私合规</w:t>
            </w:r>
          </w:p>
        </w:tc>
        <w:tc>
          <w:tcPr>
            <w:tcW w:type="dxa" w:w="1689"/>
            <w:vAlign w:val="center"/>
          </w:tcPr>
          <w:p>
            <w:pPr>
              <w:spacing w:line="276" w:lineRule="auto" w:before="20" w:after="20"/>
              <w:jc w:val="center"/>
            </w:pPr>
            <w:r>
              <w:rPr>
                <w:rFonts w:ascii="Times New Roman" w:hAnsi="Times New Roman" w:eastAsia="宋体"/>
                <w:b w:val="0"/>
                <w:color w:val="000000"/>
                <w:sz w:val="19"/>
              </w:rPr>
              <w:t>数据风险</w:t>
            </w:r>
          </w:p>
        </w:tc>
        <w:tc>
          <w:tcPr>
            <w:tcW w:type="dxa" w:w="5250"/>
            <w:vAlign w:val="center"/>
          </w:tcPr>
          <w:p>
            <w:pPr>
              <w:spacing w:line="276" w:lineRule="auto" w:before="20" w:after="20"/>
              <w:jc w:val="left"/>
            </w:pPr>
            <w:r>
              <w:rPr>
                <w:rFonts w:ascii="Times New Roman" w:hAnsi="Times New Roman" w:eastAsia="宋体"/>
                <w:b w:val="0"/>
                <w:color w:val="000000"/>
                <w:sz w:val="19"/>
              </w:rPr>
              <w:t>仅使用授权素材、入库前脱敏、最小化存储</w:t>
            </w:r>
          </w:p>
        </w:tc>
      </w:tr>
      <w:tr>
        <w:tc>
          <w:tcPr>
            <w:tcW w:type="dxa" w:w="2251"/>
            <w:shd w:val="clear" w:color="auto" w:fill="F2F6FA"/>
            <w:vAlign w:val="center"/>
          </w:tcPr>
          <w:p>
            <w:pPr>
              <w:spacing w:line="276" w:lineRule="auto" w:before="20" w:after="20"/>
              <w:jc w:val="left"/>
            </w:pPr>
            <w:r>
              <w:rPr>
                <w:rFonts w:ascii="Times New Roman" w:hAnsi="Times New Roman" w:eastAsia="宋体"/>
                <w:b w:val="0"/>
                <w:color w:val="000000"/>
                <w:sz w:val="19"/>
              </w:rPr>
              <w:t>演示网络异常</w:t>
            </w:r>
          </w:p>
        </w:tc>
        <w:tc>
          <w:tcPr>
            <w:tcW w:type="dxa" w:w="1689"/>
            <w:shd w:val="clear" w:color="auto" w:fill="F2F6FA"/>
            <w:vAlign w:val="center"/>
          </w:tcPr>
          <w:p>
            <w:pPr>
              <w:spacing w:line="276" w:lineRule="auto" w:before="20" w:after="20"/>
              <w:jc w:val="center"/>
            </w:pPr>
            <w:r>
              <w:rPr>
                <w:rFonts w:ascii="Times New Roman" w:hAnsi="Times New Roman" w:eastAsia="宋体"/>
                <w:b w:val="0"/>
                <w:color w:val="000000"/>
                <w:sz w:val="19"/>
              </w:rPr>
              <w:t>展示失败</w:t>
            </w:r>
          </w:p>
        </w:tc>
        <w:tc>
          <w:tcPr>
            <w:tcW w:type="dxa" w:w="5250"/>
            <w:shd w:val="clear" w:color="auto" w:fill="F2F6FA"/>
            <w:vAlign w:val="center"/>
          </w:tcPr>
          <w:p>
            <w:pPr>
              <w:spacing w:line="276" w:lineRule="auto" w:before="20" w:after="20"/>
              <w:jc w:val="left"/>
            </w:pPr>
            <w:r>
              <w:rPr>
                <w:rFonts w:ascii="Times New Roman" w:hAnsi="Times New Roman" w:eastAsia="宋体"/>
                <w:b w:val="0"/>
                <w:color w:val="000000"/>
                <w:sz w:val="19"/>
              </w:rPr>
              <w:t>本地部署、演示视频备份、离线样例缓存</w:t>
            </w:r>
          </w:p>
        </w:tc>
      </w:tr>
      <w:tr>
        <w:tc>
          <w:tcPr>
            <w:tcW w:type="dxa" w:w="2251"/>
            <w:vAlign w:val="center"/>
          </w:tcPr>
          <w:p>
            <w:pPr>
              <w:spacing w:line="276" w:lineRule="auto" w:before="20" w:after="20"/>
              <w:jc w:val="left"/>
            </w:pPr>
            <w:r>
              <w:rPr>
                <w:rFonts w:ascii="Times New Roman" w:hAnsi="Times New Roman" w:eastAsia="宋体"/>
                <w:b w:val="0"/>
                <w:color w:val="000000"/>
                <w:sz w:val="19"/>
              </w:rPr>
              <w:t>时间不足</w:t>
            </w:r>
          </w:p>
        </w:tc>
        <w:tc>
          <w:tcPr>
            <w:tcW w:type="dxa" w:w="1689"/>
            <w:vAlign w:val="center"/>
          </w:tcPr>
          <w:p>
            <w:pPr>
              <w:spacing w:line="276" w:lineRule="auto" w:before="20" w:after="20"/>
              <w:jc w:val="center"/>
            </w:pPr>
            <w:r>
              <w:rPr>
                <w:rFonts w:ascii="Times New Roman" w:hAnsi="Times New Roman" w:eastAsia="宋体"/>
                <w:b w:val="0"/>
                <w:color w:val="000000"/>
                <w:sz w:val="19"/>
              </w:rPr>
              <w:t>交付延期</w:t>
            </w:r>
          </w:p>
        </w:tc>
        <w:tc>
          <w:tcPr>
            <w:tcW w:type="dxa" w:w="5250"/>
            <w:vAlign w:val="center"/>
          </w:tcPr>
          <w:p>
            <w:pPr>
              <w:spacing w:line="276" w:lineRule="auto" w:before="20" w:after="20"/>
              <w:jc w:val="left"/>
            </w:pPr>
            <w:r>
              <w:rPr>
                <w:rFonts w:ascii="Times New Roman" w:hAnsi="Times New Roman" w:eastAsia="宋体"/>
                <w:b w:val="0"/>
                <w:color w:val="000000"/>
                <w:sz w:val="19"/>
              </w:rPr>
              <w:t>严格 MVP 裁剪，先单场景跑通再扩展，第 4 周后冻结需求</w:t>
            </w:r>
          </w:p>
        </w:tc>
      </w:tr>
      <w:tr>
        <w:tc>
          <w:tcPr>
            <w:tcW w:type="dxa" w:w="2251"/>
            <w:shd w:val="clear" w:color="auto" w:fill="F2F6FA"/>
            <w:vAlign w:val="center"/>
          </w:tcPr>
          <w:p>
            <w:pPr>
              <w:spacing w:line="276" w:lineRule="auto" w:before="20" w:after="20"/>
              <w:jc w:val="left"/>
            </w:pPr>
            <w:r>
              <w:rPr>
                <w:rFonts w:ascii="Times New Roman" w:hAnsi="Times New Roman" w:eastAsia="宋体"/>
                <w:b w:val="0"/>
                <w:color w:val="000000"/>
                <w:sz w:val="19"/>
              </w:rPr>
              <w:t>答辩被质疑</w:t>
            </w:r>
          </w:p>
        </w:tc>
        <w:tc>
          <w:tcPr>
            <w:tcW w:type="dxa" w:w="1689"/>
            <w:shd w:val="clear" w:color="auto" w:fill="F2F6FA"/>
            <w:vAlign w:val="center"/>
          </w:tcPr>
          <w:p>
            <w:pPr>
              <w:spacing w:line="276" w:lineRule="auto" w:before="20" w:after="20"/>
              <w:jc w:val="center"/>
            </w:pPr>
            <w:r>
              <w:rPr>
                <w:rFonts w:ascii="Times New Roman" w:hAnsi="Times New Roman" w:eastAsia="宋体"/>
                <w:b w:val="0"/>
                <w:color w:val="000000"/>
                <w:sz w:val="19"/>
              </w:rPr>
              <w:t>影响评审结果</w:t>
            </w:r>
          </w:p>
        </w:tc>
        <w:tc>
          <w:tcPr>
            <w:tcW w:type="dxa" w:w="5250"/>
            <w:shd w:val="clear" w:color="auto" w:fill="F2F6FA"/>
            <w:vAlign w:val="center"/>
          </w:tcPr>
          <w:p>
            <w:pPr>
              <w:spacing w:line="276" w:lineRule="auto" w:before="20" w:after="20"/>
              <w:jc w:val="left"/>
            </w:pPr>
            <w:r>
              <w:rPr>
                <w:rFonts w:ascii="Times New Roman" w:hAnsi="Times New Roman" w:eastAsia="宋体"/>
                <w:b w:val="0"/>
                <w:color w:val="000000"/>
                <w:sz w:val="19"/>
              </w:rPr>
              <w:t>完整证据链、评测数据、badcase 复盘、现场演示接口返回</w:t>
            </w:r>
          </w:p>
        </w:tc>
      </w:tr>
    </w:tbl>
    <w:p>
      <w:pPr>
        <w:spacing w:line="324" w:lineRule="auto" w:after="40"/>
        <w:jc w:val="both"/>
      </w:pPr>
    </w:p>
    <w:p>
      <w:pPr>
        <w:pStyle w:val="Heading1"/>
        <w:keepNext/>
        <w:spacing w:before="280" w:after="120" w:line="288" w:lineRule="auto"/>
      </w:pPr>
      <w:r>
        <w:rPr>
          <w:rFonts w:ascii="Microsoft YaHei" w:hAnsi="Microsoft YaHei" w:eastAsia="微软雅黑"/>
          <w:b/>
          <w:color w:val="000000"/>
          <w:sz w:val="30"/>
        </w:rPr>
        <w:t>十三、创新点与竞争优势</w:t>
      </w:r>
    </w:p>
    <w:p>
      <w:pPr>
        <w:pStyle w:val="Heading2"/>
        <w:keepNext/>
        <w:spacing w:before="200" w:after="80" w:line="288" w:lineRule="auto"/>
      </w:pPr>
      <w:r>
        <w:rPr>
          <w:rFonts w:ascii="Microsoft YaHei" w:hAnsi="Microsoft YaHei" w:eastAsia="微软雅黑"/>
          <w:b/>
          <w:color w:val="000000"/>
          <w:sz w:val="25"/>
        </w:rPr>
        <w:t>13.1 创新点</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人机协同双模态研判：照片、文字与追问组合，比纯视觉识别更贴近真实巡检流程。</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证据链式防幻觉输出：每条结论可以展开来源与原文，评审可以直接验证。</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规则与 LLM 双通道风险分级：降低随机性，分级依据可解释。</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Agent 全流程闭环：从现场拍照到工单成文一条链路，演示价值高。</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低成本可复现：全开源、API 免费额度、8 周可完成，适合学生团队实际落地。</w:t>
      </w:r>
    </w:p>
    <w:p>
      <w:pPr>
        <w:pStyle w:val="Heading2"/>
        <w:keepNext/>
        <w:spacing w:before="200" w:after="80" w:line="288" w:lineRule="auto"/>
      </w:pPr>
      <w:r>
        <w:rPr>
          <w:rFonts w:ascii="Microsoft YaHei" w:hAnsi="Microsoft YaHei" w:eastAsia="微软雅黑"/>
          <w:b/>
          <w:color w:val="000000"/>
          <w:sz w:val="25"/>
        </w:rPr>
        <w:t>13.2 与同类产品差异</w:t>
      </w:r>
    </w:p>
    <w:p>
      <w:pPr>
        <w:spacing w:line="324" w:lineRule="auto" w:after="100"/>
        <w:jc w:val="both"/>
      </w:pPr>
      <w:r>
        <w:rPr>
          <w:rFonts w:ascii="Times New Roman" w:hAnsi="Times New Roman" w:eastAsia="宋体"/>
          <w:b w:val="0"/>
          <w:color w:val="000000"/>
          <w:sz w:val="22"/>
        </w:rPr>
        <w:t>市面已有 AI 拍照识别隐患类工具，多为单一场景或纯视觉标签。本项目面向多行业基层场景，把识别、检索、分级、成文、人机复核组织为一个可解释闭环，并沉淀评测集与知识库，体现系统完整性和可落地性。</w:t>
      </w:r>
    </w:p>
    <w:p>
      <w:pPr>
        <w:pStyle w:val="Heading1"/>
        <w:keepNext/>
        <w:spacing w:before="280" w:after="120" w:line="288" w:lineRule="auto"/>
      </w:pPr>
      <w:r>
        <w:rPr>
          <w:rFonts w:ascii="Microsoft YaHei" w:hAnsi="Microsoft YaHei" w:eastAsia="微软雅黑"/>
          <w:b/>
          <w:color w:val="000000"/>
          <w:sz w:val="30"/>
        </w:rPr>
        <w:t>十四、预期成果与后续展望</w:t>
      </w:r>
    </w:p>
    <w:p>
      <w:pPr>
        <w:pStyle w:val="Heading2"/>
        <w:keepNext/>
        <w:spacing w:before="200" w:after="80" w:line="288" w:lineRule="auto"/>
      </w:pPr>
      <w:r>
        <w:rPr>
          <w:rFonts w:ascii="Microsoft YaHei" w:hAnsi="Microsoft YaHei" w:eastAsia="微软雅黑"/>
          <w:b/>
          <w:color w:val="000000"/>
          <w:sz w:val="25"/>
        </w:rPr>
        <w:t>14.1 预期成果</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MVP 系统：可运行 Web 应用、API 和知识库。</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评测资产：30 至 50 条脱敏案例与评测报告。</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展示材料：项目计划书、PPT、演示视频和项目仓库。</w:t>
      </w:r>
    </w:p>
    <w:p>
      <w:pPr>
        <w:pStyle w:val="Heading2"/>
        <w:keepNext/>
        <w:spacing w:before="200" w:after="80" w:line="288" w:lineRule="auto"/>
      </w:pPr>
      <w:r>
        <w:rPr>
          <w:rFonts w:ascii="Microsoft YaHei" w:hAnsi="Microsoft YaHei" w:eastAsia="微软雅黑"/>
          <w:b/>
          <w:color w:val="000000"/>
          <w:sz w:val="25"/>
        </w:rPr>
        <w:t>14.2 后续展望</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引入整改照片回传与前后对比，形成发现、研判、整改、复核、销号闭环。</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增加社区与园区风险画像、隐患热点地图，衔接城市治理平台。</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在试点单位开展真实场景试用，根据反馈持续优化评测集与规则库。</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探索政务内网部署、知识图谱和规范版本自动监测。</w:t>
      </w:r>
    </w:p>
    <w:p>
      <w:pPr>
        <w:pStyle w:val="Heading1"/>
        <w:keepNext/>
        <w:spacing w:before="280" w:after="120" w:line="288" w:lineRule="auto"/>
      </w:pPr>
      <w:r>
        <w:rPr>
          <w:rFonts w:ascii="Microsoft YaHei" w:hAnsi="Microsoft YaHei" w:eastAsia="微软雅黑"/>
          <w:b/>
          <w:color w:val="000000"/>
          <w:sz w:val="30"/>
        </w:rPr>
        <w:t>附录：首日行动清单</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完成团队组队与分工。</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注册阿里云百炼、智谱 BigModel、硅基流动账号并确认免费额度。</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核对竞赛规则、提交材料和截止时间。</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初始化 Git 仓库与项目目录。</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安装 Python 3.11、Node.js 18 以上版本和 VS Code。</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用 3 至 5 张示例图片跑通 Qwen2.5-VL 基础接口。</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跑通 LangGraph 示例工作流和 FAISS 检索示例。</w:t>
      </w:r>
    </w:p>
    <w:p>
      <w:pPr>
        <w:spacing w:line="324" w:lineRule="auto" w:after="60"/>
        <w:ind w:left="397" w:hanging="198"/>
      </w:pPr>
      <w:r>
        <w:rPr>
          <w:rFonts w:ascii="Times New Roman" w:hAnsi="Times New Roman" w:eastAsia="宋体"/>
          <w:b w:val="0"/>
          <w:color w:val="000000"/>
          <w:sz w:val="22"/>
        </w:rPr>
        <w:t xml:space="preserve">•  </w:t>
      </w:r>
      <w:r>
        <w:rPr>
          <w:rFonts w:ascii="Times New Roman" w:hAnsi="Times New Roman" w:eastAsia="宋体"/>
          <w:b w:val="0"/>
          <w:color w:val="000000"/>
          <w:sz w:val="22"/>
        </w:rPr>
        <w:t>收集第一批消防与社区规范文档，保存原文与来源链接。</w:t>
      </w:r>
    </w:p>
    <w:p>
      <w:pPr>
        <w:spacing w:line="324" w:lineRule="auto" w:after="100"/>
        <w:jc w:val="both"/>
      </w:pPr>
      <w:r>
        <w:rPr>
          <w:rFonts w:ascii="Times New Roman" w:hAnsi="Times New Roman" w:eastAsia="宋体"/>
          <w:b w:val="0"/>
          <w:color w:val="000000"/>
          <w:sz w:val="22"/>
        </w:rPr>
        <w:t>注：本计划书中的技术选型将随开发实践更新，表格中的法规分类与条款以现行有效文本为准。文档版本：2026 年 9 月。</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