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PUP-TBIDO FORM No. 003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Startup Name: Date: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 cap="flat" cmpd="sng" w="25400">
                          <a:solidFill>
                            <a:srgbClr val="21364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MARKET READINESS LEVEL (MRL)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1 – Identified Market Need &amp; Draft Value Proposition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Conversations with potential customers have been conducted and documented.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market research or secondary data supports the problem's existence.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one draft value proposition has been written.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core problem, its significance, and a rough solution direction are understood.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2 – Notional Customer Characterization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 Business Model Canvas is created, especially the right-hand side (customer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segments, value prop, channels, etc.).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Early adopter customer types are defined.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Potential customers are identified for future validation.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Hypotheses about customers' behaviors, needs, and pain points are documented.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3 – Customer Discovery</w:t>
            </w:r>
          </w:p>
        </w:tc>
      </w:tr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interviews are conducted to understand their perspective without pitching 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solution.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Insights gathered include: previous solutions tried, current behaviors, and problem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severity.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patterns emerge on customer needs and the value they place on solving the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Right side of the BMC is revised based on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4 – Low-Fidelity MVP Design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low-fidelity MVP or prototype is created (mockups, wireframes, sketches).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hypotheses are testable using this prototype.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Feedback framework (metrics, questions) is defined.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diverse and relevant group of potential users is prepared for testing.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5 – Low-Fidelity MVP Campaign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customers interact with the low-fi MVP.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Quantitative and qualitative feedback is gathered (surveys, interviews, usage data).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Stakeholders and early adopters provide input.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Adjustments or pivots are made based on real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6 – Revalidate Solution and Model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refined and validated.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shows evidence of solving the problem effectively.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 (skills, tools, funds) to build a high-fidelity MVP are secured.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development roadmap for a Hi-Fi MVP is in place.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7 – High-Fidelity MVP Campaign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high-fidelity MVP (clickable app, working prototype, service trial) is launched.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 users test the solution in a near-real environment.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business metrics are tracked (engagement, retention, usage).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and performance data are analyzed to assess real market traction.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8 – Validate Model with MVP Results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0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pgSz w:h="20160" w:w="12240" w:orient="portrait"/>
          <w:pgMar w:bottom="1780" w:top="2400" w:left="1440" w:right="1440" w:header="264" w:footer="159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fully validated, especially customer segments and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revenue streams.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MVP results show repeat interest, purchases, or active use.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Pricing, cost structure, and key assumptions are backed by real-world data.</w:t>
            </w:r>
          </w:p>
        </w:tc>
      </w:tr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is desirable, feasible, and viable based on current evidence.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9 – Go-To-Market Decision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clear Go or No-Go decision is made based on MVP and validation data.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Commercialization plan is documented (launch strategy, sales channels, marketing,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budget).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and resources are aligned for scaling or market entry.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is stakeholder/investor buy-in for market launch.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Evaluated by: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u w:val="none"/>
        </w:rPr>
      </w:pPr>
      <w:r w:rsidDel="00000000" w:rsidR="00000000" w:rsidRPr="00000000">
        <w:rPr>
          <w:rtl w:val="0"/>
        </w:rPr>
        <w:t xml:space="preserve">SAMPLE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Portfolio Coordinator, TBIDO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552" w:lineRule="auto"/>
        <w:ind w:left="0" w:right="402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Technical Assistant II, DOST HEIRIT Reviewed by:</w:t>
      </w:r>
    </w:p>
    <w:p w:rsidR="00000000" w:rsidDel="00000000" w:rsidP="00000000" w:rsidRDefault="00000000" w:rsidRPr="00000000" w14:paraId="0000006E">
      <w:pPr>
        <w:pStyle w:val="Heading1"/>
        <w:rPr>
          <w:u w:val="none"/>
        </w:rPr>
      </w:pPr>
      <w:r w:rsidDel="00000000" w:rsidR="00000000" w:rsidRPr="00000000">
        <w:rPr>
          <w:rtl w:val="0"/>
        </w:rPr>
        <w:t xml:space="preserve">SAMPLE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Enterprise Development Chief, TBIDO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Noted by: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left="5760" w:firstLine="0"/>
        <w:rPr>
          <w:u w:val="none"/>
        </w:rPr>
      </w:pPr>
      <w:r w:rsidDel="00000000" w:rsidR="00000000" w:rsidRPr="00000000">
        <w:rPr>
          <w:rtl w:val="0"/>
        </w:rPr>
        <w:t xml:space="preserve">SAMPLE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Director, TBIDO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Leader, DOST HEIRIT</w:t>
      </w:r>
    </w:p>
    <w:sectPr>
      <w:type w:val="nextPage"/>
      <w:pgSz w:h="20160" w:w="12240" w:orient="portrait"/>
      <w:pgMar w:bottom="1780" w:top="2400" w:left="1440" w:right="1440" w:header="264" w:footer="159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4061459</wp:posOffset>
          </wp:positionH>
          <wp:positionV relativeFrom="paragraph">
            <wp:posOffset>215115</wp:posOffset>
          </wp:positionV>
          <wp:extent cx="2462783" cy="758952"/>
          <wp:effectExtent b="0" l="0" r="0" t="0"/>
          <wp:wrapNone/>
          <wp:docPr id="738012206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62783" cy="75895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-17461</wp:posOffset>
              </wp:positionH>
              <wp:positionV relativeFrom="paragraph">
                <wp:posOffset>215115</wp:posOffset>
              </wp:positionV>
              <wp:extent cx="3372485" cy="765810"/>
              <wp:effectExtent b="0" l="0" r="0" t="0"/>
              <wp:wrapNone/>
              <wp:docPr id="73801220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64520" y="3401858"/>
                        <a:ext cx="3362960" cy="756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77.99999237060547"/>
                            <w:ind w:left="20" w:right="367.99999237060547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PUP A. Mabini Campus, Anonas Street, Sta. Mesa, Manila 1016 Trunk Line: 335-1787 or 335-1777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2.000012397766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Website: www.pup.edu.ph | Inquiries: https://bit.ly/PUPSINTA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5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4"/>
                              <w:vertAlign w:val="baseline"/>
                            </w:rPr>
                            <w:t xml:space="preserve">T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0"/>
                              <w:vertAlign w:val="baseline"/>
                            </w:rPr>
                            <w:t xml:space="preserve">HE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4"/>
                              <w:vertAlign w:val="baseline"/>
                            </w:rPr>
                            <w:t xml:space="preserve">C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0"/>
                              <w:vertAlign w:val="baseline"/>
                            </w:rPr>
                            <w:t xml:space="preserve">OUNTRY’S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4"/>
                              <w:vertAlign w:val="baseline"/>
                            </w:rPr>
                            <w:t xml:space="preserve">1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4"/>
                              <w:vertAlign w:val="superscript"/>
                            </w:rPr>
                            <w:t xml:space="preserve">st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4"/>
                              <w:vertAlign w:val="baseline"/>
                            </w:rPr>
                            <w:t xml:space="preserve"> P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0"/>
                              <w:vertAlign w:val="baseline"/>
                            </w:rPr>
                            <w:t xml:space="preserve">OLYTECHNIC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4"/>
                              <w:vertAlign w:val="baseline"/>
                            </w:rPr>
                            <w:t xml:space="preserve">U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-17461</wp:posOffset>
              </wp:positionH>
              <wp:positionV relativeFrom="paragraph">
                <wp:posOffset>215115</wp:posOffset>
              </wp:positionV>
              <wp:extent cx="3372485" cy="765810"/>
              <wp:effectExtent b="0" l="0" r="0" t="0"/>
              <wp:wrapNone/>
              <wp:docPr id="73801220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2485" cy="7658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b="0" l="0" r="0" t="0"/>
          <wp:wrapNone/>
          <wp:docPr id="73801220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b="0" l="0" r="0" t="0"/>
          <wp:wrapNone/>
          <wp:docPr id="73801220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350" cy="12700"/>
              <wp:effectExtent b="0" l="0" r="0" t="0"/>
              <wp:wrapNone/>
              <wp:docPr id="738012205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1899221" y="3776825"/>
                        <a:ext cx="6893559" cy="6350"/>
                      </a:xfrm>
                      <a:custGeom>
                        <a:rect b="b" l="l" r="r" t="t"/>
                        <a:pathLst>
                          <a:path extrusionOk="0" h="6350" w="6893559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350" cy="12700"/>
              <wp:effectExtent b="0" l="0" r="0" t="0"/>
              <wp:wrapNone/>
              <wp:docPr id="73801220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5389562" cy="761365"/>
              <wp:effectExtent b="0" l="0" r="0" t="0"/>
              <wp:wrapNone/>
              <wp:docPr id="738012204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2.000000476837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1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Polytechnic University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OFFICE OF THE VICE PRESIDENT FOR RESEARCH, EXTENSION, AND DEVELOPMENT</w:t>
                          </w:r>
                        </w:p>
                        <w:p w:rsidR="00000000" w:rsidDel="00000000" w:rsidP="00000000" w:rsidRDefault="00000000" w:rsidRPr="00000000">
                          <w:pPr>
                            <w:pBdr>
                              <w:bottom w:val="single" w:sz="4" w:space="1" w:color="808080"/>
                            </w:pBdr>
                            <w:spacing w:after="0" w:before="3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TECHNOLOGY BUSINESS INCUBATION AND DEVELOPMENT OFFICE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5389562" cy="761365"/>
              <wp:effectExtent b="0" l="0" r="0" t="0"/>
              <wp:wrapNone/>
              <wp:docPr id="73801220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0900" cy="761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2" w:lineRule="auto"/>
      <w:ind w:left="20"/>
    </w:pPr>
    <w:rPr>
      <w:rFonts w:ascii="Cambria" w:cs="Cambria" w:eastAsia="Cambria" w:hAnsi="Cambria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108"/>
    </w:pPr>
  </w:style>
  <w:style w:type="paragraph" w:styleId="Header">
    <w:name w:val="header"/>
    <w:basedOn w:val="Normal"/>
    <w:link w:val="Head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321A2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321A2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8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Relationship Id="rId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7p3od7T+x3TNtjN7cs6o/5q6g==">CgMxLjA4AHIhMWdDV2tacU9INTk0a1YzRDBlN091V05FeDh2NmpDSTlr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2025-06-10T04:33:00Z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