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WHAT IS CLAIMED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An identity recovery system comprising:</w:t>
      </w:r>
    </w:p>
    <w:p>
      <w:pPr/>
      <w:r>
        <w:rPr>
          <w:rFonts w:ascii="Helvetica Light" w:hAnsi="Helvetica Light" w:cs="Helvetica Light"/>
          <w:sz w:val="24"/>
          <w:sz-cs w:val="24"/>
        </w:rPr>
        <w:t xml:space="preserve">a processor; and</w:t>
      </w:r>
    </w:p>
    <w:p>
      <w:pPr/>
      <w:r>
        <w:rPr>
          <w:rFonts w:ascii="Helvetica Light" w:hAnsi="Helvetica Light" w:cs="Helvetica Light"/>
          <w:sz w:val="24"/>
          <w:sz-cs w:val="24"/>
        </w:rPr>
        <w:t xml:space="preserve">a non-transitory computer-readable storage medium storing instructions that, when executed by the processor, cause the processor to:</w:t>
      </w:r>
    </w:p>
    <w:p>
      <w:pPr/>
      <w:r>
        <w:rPr>
          <w:rFonts w:ascii="Helvetica Light" w:hAnsi="Helvetica Light" w:cs="Helvetica Light"/>
          <w:sz w:val="24"/>
          <w:sz-cs w:val="24"/>
        </w:rPr>
        <w:t xml:space="preserve">maintain a portable identity file comprising cleartext post-quantum public key material, an encrypted identity payload, a recovery envelope, and a set of passcode-sealed cryptographic shares;</w:t>
      </w:r>
    </w:p>
    <w:p>
      <w:pPr/>
      <w:r>
        <w:rPr>
          <w:rFonts w:ascii="Helvetica Light" w:hAnsi="Helvetica Light" w:cs="Helvetica Light"/>
          <w:sz w:val="24"/>
          <w:sz-cs w:val="24"/>
        </w:rPr>
        <w:t xml:space="preserve">maintain a recovery vault structure within a user-controlled cloud storage instance, the recovery vault structure recording a set of custodian entries, wherein each custodian entry comprises a custodian identifier, a registration status, and an unrevokable flag;</w:t>
      </w:r>
    </w:p>
    <w:p>
      <w:pPr/>
      <w:r>
        <w:rPr>
          <w:rFonts w:ascii="Helvetica Light" w:hAnsi="Helvetica Light" w:cs="Helvetica Light"/>
          <w:sz w:val="24"/>
          <w:sz-cs w:val="24"/>
        </w:rPr>
        <w:t xml:space="preserve">receive a recovery request comprising a plurality of custodian approvals;</w:t>
      </w:r>
    </w:p>
    <w:p>
      <w:pPr/>
      <w:r>
        <w:rPr>
          <w:rFonts w:ascii="Helvetica Light" w:hAnsi="Helvetica Light" w:cs="Helvetica Light"/>
          <w:sz w:val="24"/>
          <w:sz-cs w:val="24"/>
        </w:rPr>
        <w:t xml:space="preserve">evaluate the recovery request against a quorum rule, wherein the quorum rule requires both a threshold number of total custodian approvals and at least one explicit custodian approval corresponding to a custodian entry in the recovery vault structure where the unrevokable flag is set to true; and</w:t>
      </w:r>
    </w:p>
    <w:p>
      <w:pPr/>
      <w:r>
        <w:rPr>
          <w:rFonts w:ascii="Helvetica Light" w:hAnsi="Helvetica Light" w:cs="Helvetica Light"/>
          <w:sz w:val="24"/>
          <w:sz-cs w:val="24"/>
        </w:rPr>
        <w:t xml:space="preserve">upon satisfaction of the quorum rule, combine the cryptographic shares to reconstruct a recovery master secret, derive a decryption key from the recovery master secret, decrypt the recovery envelope to extract a public key, and re-encrypt the identity payload under a newly supplied user passcode factor while maintaining the public key unchanged.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The system of claim 1, wherein the decryption key is derived by executing a SHA-256 hash function over the reconstructed recovery master secret, and wherein the recovery envelope is decrypted using AES-GCM under the derived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The system of claim 1, wherein a protocol execution layer rejects any incoming revocation request targeting a custodian entry where the unrevokable flag is set to true, preventing unauthorized revocation of protected custodians while permitting non-revocation state updates.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The system of claim 1, wherein each custodian approval comprises a zero-knowledge proof envelope encoding an inner zero-knowledge proof bound to an outer post-quantum signature under a cryptographic hash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The system of claim 1, wherein the set of passcode-sealed cryptographic shares embedded within the portable identity file are encrypted via authenticated symmetric encryption using a key derived from a user identifier string and the user passcode factor via a key derivation function.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A computer-implemented method for executing identity key migration with network succession, the method comprising:</w:t>
      </w:r>
    </w:p>
    <w:p>
      <w:pPr/>
      <w:r>
        <w:rPr>
          <w:rFonts w:ascii="Helvetica Light" w:hAnsi="Helvetica Light" w:cs="Helvetica Light"/>
          <w:sz w:val="24"/>
          <w:sz-cs w:val="24"/>
        </w:rPr>
        <w:t xml:space="preserve">generating, on a client application, a successor key pair comprising a successor public key and a successor private key, wherein the successor key pair is distinct from a predecessor key pair associated with a user-controlled storage folder;</w:t>
      </w:r>
    </w:p>
    <w:p>
      <w:pPr/>
      <w:r>
        <w:rPr>
          <w:rFonts w:ascii="Helvetica Light" w:hAnsi="Helvetica Light" w:cs="Helvetica Light"/>
          <w:sz w:val="24"/>
          <w:sz-cs w:val="24"/>
        </w:rPr>
        <w:t xml:space="preserve">pinning a unique cloud storage folder identifier associated with the user-controlled storage folder in client credential metadata;</w:t>
      </w:r>
    </w:p>
    <w:p>
      <w:pPr/>
      <w:r>
        <w:rPr>
          <w:rFonts w:ascii="Helvetica Light" w:hAnsi="Helvetica Light" w:cs="Helvetica Light"/>
          <w:sz w:val="24"/>
          <w:sz-cs w:val="24"/>
        </w:rPr>
        <w:t xml:space="preserve">executing an in-place migration within the user-controlled storage folder by re-wrapping encrypted digital assets under the successor public key and updating identifier strings in user index structures stored therein;</w:t>
      </w:r>
    </w:p>
    <w:p>
      <w:pPr/>
      <w:r>
        <w:rPr>
          <w:rFonts w:ascii="Helvetica Light" w:hAnsi="Helvetica Light" w:cs="Helvetica Light"/>
          <w:sz w:val="24"/>
          <w:sz-cs w:val="24"/>
        </w:rPr>
        <w:t xml:space="preserve">generating a lineage zero-knowledge proof bound to the predecessor key pair and the successor key pair; and</w:t>
      </w:r>
    </w:p>
    <w:p>
      <w:pPr/>
      <w:r>
        <w:rPr>
          <w:rFonts w:ascii="Helvetica Light" w:hAnsi="Helvetica Light" w:cs="Helvetica Light"/>
          <w:sz w:val="24"/>
          <w:sz-cs w:val="24"/>
        </w:rPr>
        <w:t xml:space="preserve">registering a network succession record on a coordinating server, wherein the network succession record causes the server to reject online token authorizations, feed ingestion, and network-backed operations presenting the predecessor key pair while permitting local, offline decryption of historic files using the predecessor key pair.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The method of claim 6, wherein re-wrapping encrypted digital assets comprises re-wrapping encrypted data files, direct messages, group keys, and encrypted share credential blobs associated with published assets.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The method of claim 6, further comprising re-issuing active zero-knowledge proof envelopes and re-inviting custodians recorded in a recovery vault structure using the successor public key during the in-place migration.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The method of claim 6, wherein the successor key pair comprises a post-quantum signing key pair and a post-quantum key encapsulation key pair.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The method of claim 6, further comprising renaming the user-controlled storage folder on the cloud storage instance to match a unique identifier string derived from the successor public key upon completion of the in-place migration.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The method of claim 6, further comprising updating owned-asset references upon registration of the network succession record and updating user permissions structures during the in-place migration.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A computer-implemented public content aggregation system comprising:</w:t>
      </w:r>
    </w:p>
    <w:p>
      <w:pPr/>
      <w:r>
        <w:rPr>
          <w:rFonts w:ascii="Helvetica Light" w:hAnsi="Helvetica Light" w:cs="Helvetica Light"/>
          <w:sz w:val="24"/>
          <w:sz-cs w:val="24"/>
        </w:rPr>
        <w:t xml:space="preserve">a user-controlled cloud storage instance hosting a user-authored public index structure, wherein the public index structure defines authoritative membership truth for public feed posts authored by a user;</w:t>
      </w:r>
    </w:p>
    <w:p>
      <w:pPr/>
      <w:r>
        <w:rPr>
          <w:rFonts w:ascii="Helvetica Light" w:hAnsi="Helvetica Light" w:cs="Helvetica Light"/>
          <w:sz w:val="24"/>
          <w:sz-cs w:val="24"/>
        </w:rPr>
        <w:t xml:space="preserve">a non-authoritative performance cache configured to serve public feed queries to client devices; and</w:t>
      </w:r>
    </w:p>
    <w:p>
      <w:pPr/>
      <w:r>
        <w:rPr>
          <w:rFonts w:ascii="Helvetica Light" w:hAnsi="Helvetica Light" w:cs="Helvetica Light"/>
          <w:sz w:val="24"/>
          <w:sz-cs w:val="24"/>
        </w:rPr>
        <w:t xml:space="preserve">a membership alignment module configured to treat the user-authored public index structure as authoritative membership truth relative to the non-authoritative performance cache by removing entries from the non-authoritative performance cache whose unique identifiers are absent from the user-authored public index structure;</w:t>
      </w:r>
    </w:p>
    <w:p>
      <w:pPr/>
      <w:r>
        <w:rPr>
          <w:rFonts w:ascii="Helvetica Light" w:hAnsi="Helvetica Light" w:cs="Helvetica Light"/>
          <w:sz w:val="24"/>
          <w:sz-cs w:val="24"/>
        </w:rPr>
        <w:t xml:space="preserve">wherein long-lived cloud authorization secrets for the user-controlled cloud storage instance are retained on a user device rather than on a coordinating server, the non-authoritative performance cache is updated upon owner publish of public content and upon explicit deletion commands, the membership alignment module is further configured to reconcile cache entries using a cloud access token forwarded from the user device, and dead-link clearing is further performed when a public-content retrieval for a cached identifier fails.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The system of claim 12, wherein when the membership alignment module reads the public index structure from the user-controlled cloud storage instance and detects explicit network authentication error codes returned during that read, the module skips cache removal for the associated user, preventing accidental cache purges during temporary credential disruptions.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The system of claim 12, wherein the membership alignment module executes a total purge of all cached entries associated with the user from the non-authoritative performance cache upon detecting that the public index structure has been completely removed from the user-controlled cloud storage instance or that authorized public membership is empty after an index read.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The system of claim 12, wherein an explicit user deletion command dispatched through an application API updates the public index structure and triggers an immediate purge call to the non-authoritative performance cache without awaiting a background interval.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 The system of claim 12, wherein the public index structure is formatted as a spreadsheet file residing within a dedicated metadata directory on a consumer cloud drive account.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 A portable digital identity artifact stored on a non-transitory computer-readable medium, the artifact comprising:</w:t>
      </w:r>
    </w:p>
    <w:p>
      <w:pPr/>
      <w:r>
        <w:rPr>
          <w:rFonts w:ascii="Helvetica Light" w:hAnsi="Helvetica Light" w:cs="Helvetica Light"/>
          <w:sz w:val="24"/>
          <w:sz-cs w:val="24"/>
        </w:rPr>
        <w:t xml:space="preserve">cleartext post-quantum public key material;</w:t>
      </w:r>
    </w:p>
    <w:p>
      <w:pPr/>
      <w:r>
        <w:rPr>
          <w:rFonts w:ascii="Helvetica Light" w:hAnsi="Helvetica Light" w:cs="Helvetica Light"/>
          <w:sz w:val="24"/>
          <w:sz-cs w:val="24"/>
        </w:rPr>
        <w:t xml:space="preserve">a structured data payload encoding an identity payload encrypted via symmetric key encryption using a key derived from a user identifier and a passcode factor;</w:t>
      </w:r>
    </w:p>
    <w:p>
      <w:pPr/>
      <w:r>
        <w:rPr>
          <w:rFonts w:ascii="Helvetica Light" w:hAnsi="Helvetica Light" w:cs="Helvetica Light"/>
          <w:sz w:val="24"/>
          <w:sz-cs w:val="24"/>
        </w:rPr>
        <w:t xml:space="preserve">a recovery envelope encoding core identity metadata bound to a recovery master secret; and</w:t>
      </w:r>
    </w:p>
    <w:p>
      <w:pPr/>
      <w:r>
        <w:rPr>
          <w:rFonts w:ascii="Helvetica Light" w:hAnsi="Helvetica Light" w:cs="Helvetica Light"/>
          <w:sz w:val="24"/>
          <w:sz-cs w:val="24"/>
        </w:rPr>
        <w:t xml:space="preserve">a sealed share block encoding a set of secret shares of the recovery master secret, wherein the sealed share block is encrypted independently of the identity payload;</w:t>
      </w:r>
    </w:p>
    <w:p>
      <w:pPr/>
      <w:r>
        <w:rPr>
          <w:rFonts w:ascii="Helvetica Light" w:hAnsi="Helvetica Light" w:cs="Helvetica Light"/>
          <w:sz w:val="24"/>
          <w:sz-cs w:val="24"/>
        </w:rPr>
        <w:t xml:space="preserve">wherein presenting the artifact, the user identifier, and the passcode factor together enables decryption of the identity payload to expose cryptographic signing and encapsulation capabilities.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18. The artifact of claim 17, wherein the structured data payload is formatted as a JSON string, a CBOR payload, or a binary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19. The artifact of claim 17, wherein the cryptographic signing capability comprises an ML-DSA signing capability and the cryptographic encapsulation capability comprises an ML-KEM encapsulation capability.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20. An integrator storage confinement system comprising:</w:t>
      </w:r>
    </w:p>
    <w:p>
      <w:pPr/>
      <w:r>
        <w:rPr>
          <w:rFonts w:ascii="Helvetica Light" w:hAnsi="Helvetica Light" w:cs="Helvetica Light"/>
          <w:sz w:val="24"/>
          <w:sz-cs w:val="24"/>
        </w:rPr>
        <w:t xml:space="preserve">a coordinating API server maintaining a client authorization registry;</w:t>
      </w:r>
    </w:p>
    <w:p>
      <w:pPr/>
      <w:r>
        <w:rPr>
          <w:rFonts w:ascii="Helvetica Light" w:hAnsi="Helvetica Light" w:cs="Helvetica Light"/>
          <w:sz w:val="24"/>
          <w:sz-cs w:val="24"/>
        </w:rPr>
        <w:t xml:space="preserve">a user-controlled cloud storage instance hosting a dedicated client storage folder; and</w:t>
      </w:r>
    </w:p>
    <w:p>
      <w:pPr/>
      <w:r>
        <w:rPr>
          <w:rFonts w:ascii="Helvetica Light" w:hAnsi="Helvetica Light" w:cs="Helvetica Light"/>
          <w:sz w:val="24"/>
          <w:sz-cs w:val="24"/>
        </w:rPr>
        <w:t xml:space="preserve">a storage proxy enforcing path confinement rules, wherein the storage proxy restricts storage API write, read, and delete requests issued by an authorized client entity strictly to paths within the dedicated client storage folder.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The system of claim 20, wherein identity zero-knowledge data point proofs are stored in a metadata structure separate from the dedicated client storage folder and are accessible to the authorized client entity exclusively via dedicated proof API endpoints governed by a permissions structure on the user-controlled cloud storage instance.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The system of claim 21, wherein the dedicated proof API endpoints return a zero-knowledge proof envelope encoding a STARK inner proof and an outer post-quantum signature binding a cryptographic digest without exposing plaintext user attributes to the authorized client entity.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The system of claim 20, wherein the authorized client entity comprises a third-party integrator, a data broker, a data union, or a data exchange mediating selective disclosure for third-party verifiers.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