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9C62B" w14:textId="08C6472C" w:rsidR="00AF7511" w:rsidRDefault="00AF7511" w:rsidP="00BA21F0">
      <w:pPr>
        <w:widowControl w:val="0"/>
        <w:autoSpaceDE w:val="0"/>
        <w:autoSpaceDN w:val="0"/>
        <w:adjustRightInd w:val="0"/>
        <w:rPr>
          <w:rFonts w:ascii="Garamond" w:hAnsi="Garamond" w:cs="Times New Roman"/>
          <w:sz w:val="22"/>
          <w:szCs w:val="22"/>
        </w:rPr>
      </w:pPr>
      <w:r w:rsidRPr="00AF7511">
        <w:rPr>
          <w:rFonts w:ascii="Garamond" w:hAnsi="Garamond" w:cs="Helvetica"/>
          <w:sz w:val="22"/>
          <w:szCs w:val="22"/>
        </w:rPr>
        <w:t xml:space="preserve">Welcome to </w:t>
      </w:r>
      <w:r w:rsidRPr="00AF7511">
        <w:rPr>
          <w:rFonts w:ascii="Garamond" w:hAnsi="Garamond" w:cs="Times New Roman"/>
          <w:i/>
          <w:sz w:val="22"/>
          <w:szCs w:val="22"/>
        </w:rPr>
        <w:t>IPI Security Council Compliance Database</w:t>
      </w:r>
      <w:r w:rsidRPr="00AF7511">
        <w:rPr>
          <w:rFonts w:ascii="Garamond" w:hAnsi="Garamond" w:cs="Times New Roman"/>
          <w:sz w:val="22"/>
          <w:szCs w:val="22"/>
        </w:rPr>
        <w:t xml:space="preserve">, the primary web portal for the </w:t>
      </w:r>
      <w:r w:rsidRPr="00AF7511">
        <w:rPr>
          <w:rFonts w:ascii="Garamond" w:hAnsi="Garamond" w:cs="Times New Roman"/>
          <w:i/>
          <w:sz w:val="22"/>
          <w:szCs w:val="22"/>
        </w:rPr>
        <w:t>Understanding Compliance with UN Security Council Resolutions in Civil Wars</w:t>
      </w:r>
      <w:r w:rsidRPr="00AF7511">
        <w:rPr>
          <w:rFonts w:ascii="Garamond" w:hAnsi="Garamond" w:cs="Times New Roman"/>
          <w:sz w:val="22"/>
          <w:szCs w:val="22"/>
        </w:rPr>
        <w:t xml:space="preserve"> project.</w:t>
      </w:r>
      <w:r>
        <w:rPr>
          <w:rFonts w:ascii="Garamond" w:hAnsi="Garamond" w:cs="Times New Roman"/>
          <w:sz w:val="22"/>
          <w:szCs w:val="22"/>
        </w:rPr>
        <w:t xml:space="preserve"> This dashboard will </w:t>
      </w:r>
      <w:r w:rsidR="00FC5B55">
        <w:rPr>
          <w:rFonts w:ascii="Garamond" w:hAnsi="Garamond" w:cs="Times New Roman"/>
          <w:sz w:val="22"/>
          <w:szCs w:val="22"/>
        </w:rPr>
        <w:t>help</w:t>
      </w:r>
      <w:r>
        <w:rPr>
          <w:rFonts w:ascii="Garamond" w:hAnsi="Garamond" w:cs="Times New Roman"/>
          <w:sz w:val="22"/>
          <w:szCs w:val="22"/>
        </w:rPr>
        <w:t xml:space="preserve"> you examine various trends and characteristics of compliance with Security Council Resolutions in civil wars from 1989 to 2003. </w:t>
      </w:r>
      <w:r w:rsidRPr="007B3180">
        <w:rPr>
          <w:rFonts w:ascii="Garamond" w:hAnsi="Garamond" w:cs="Times New Roman"/>
          <w:sz w:val="22"/>
          <w:szCs w:val="22"/>
          <w:highlight w:val="yellow"/>
        </w:rPr>
        <w:t>You can download the complete dataset, as well as the data manual and coding source material</w:t>
      </w:r>
      <w:r w:rsidR="00FC5B55" w:rsidRPr="007B3180">
        <w:rPr>
          <w:rFonts w:ascii="Garamond" w:hAnsi="Garamond" w:cs="Times New Roman"/>
          <w:sz w:val="22"/>
          <w:szCs w:val="22"/>
          <w:highlight w:val="yellow"/>
        </w:rPr>
        <w:t xml:space="preserve"> at</w:t>
      </w:r>
      <w:r w:rsidRPr="007B3180">
        <w:rPr>
          <w:rFonts w:ascii="Garamond" w:hAnsi="Garamond" w:cs="Times New Roman"/>
          <w:sz w:val="22"/>
          <w:szCs w:val="22"/>
          <w:highlight w:val="yellow"/>
        </w:rPr>
        <w:t xml:space="preserve"> [</w:t>
      </w:r>
      <w:r w:rsidR="00FC5B55" w:rsidRPr="007B3180">
        <w:rPr>
          <w:rFonts w:ascii="Garamond" w:hAnsi="Garamond" w:cs="Times New Roman"/>
          <w:sz w:val="22"/>
          <w:szCs w:val="22"/>
          <w:highlight w:val="yellow"/>
        </w:rPr>
        <w:t>LINK</w:t>
      </w:r>
      <w:r w:rsidRPr="007B3180">
        <w:rPr>
          <w:rFonts w:ascii="Garamond" w:hAnsi="Garamond" w:cs="Times New Roman"/>
          <w:sz w:val="22"/>
          <w:szCs w:val="22"/>
          <w:highlight w:val="yellow"/>
        </w:rPr>
        <w:t>].</w:t>
      </w:r>
      <w:r w:rsidR="00FC5B55">
        <w:rPr>
          <w:rFonts w:ascii="Garamond" w:hAnsi="Garamond" w:cs="Times New Roman"/>
          <w:sz w:val="22"/>
          <w:szCs w:val="22"/>
        </w:rPr>
        <w:t xml:space="preserve"> </w:t>
      </w:r>
    </w:p>
    <w:p w14:paraId="10B43831" w14:textId="77777777" w:rsidR="00AF7511" w:rsidRDefault="00AF7511" w:rsidP="00BA21F0">
      <w:pPr>
        <w:widowControl w:val="0"/>
        <w:autoSpaceDE w:val="0"/>
        <w:autoSpaceDN w:val="0"/>
        <w:adjustRightInd w:val="0"/>
        <w:rPr>
          <w:rFonts w:ascii="Garamond" w:hAnsi="Garamond" w:cs="Times New Roman"/>
          <w:sz w:val="22"/>
          <w:szCs w:val="22"/>
        </w:rPr>
      </w:pPr>
    </w:p>
    <w:p w14:paraId="19C7CCA1" w14:textId="77777777" w:rsidR="007B3180" w:rsidRDefault="007B3180" w:rsidP="007B3180">
      <w:pPr>
        <w:widowControl w:val="0"/>
        <w:autoSpaceDE w:val="0"/>
        <w:autoSpaceDN w:val="0"/>
        <w:adjustRightInd w:val="0"/>
        <w:rPr>
          <w:rFonts w:ascii="Garamond" w:hAnsi="Garamond" w:cs="Times New Roman"/>
          <w:sz w:val="22"/>
          <w:szCs w:val="22"/>
        </w:rPr>
      </w:pPr>
      <w:r>
        <w:rPr>
          <w:rFonts w:ascii="Garamond" w:hAnsi="Garamond" w:cs="Times New Roman"/>
          <w:sz w:val="22"/>
          <w:szCs w:val="22"/>
        </w:rPr>
        <w:t xml:space="preserve">The four tabs of the web portal are grouped according to function. </w:t>
      </w:r>
    </w:p>
    <w:p w14:paraId="33DD52B7" w14:textId="77777777" w:rsidR="007B3180" w:rsidRDefault="007B3180" w:rsidP="007B3180">
      <w:pPr>
        <w:pStyle w:val="ListParagraph"/>
        <w:widowControl w:val="0"/>
        <w:numPr>
          <w:ilvl w:val="0"/>
          <w:numId w:val="2"/>
        </w:numPr>
        <w:autoSpaceDE w:val="0"/>
        <w:autoSpaceDN w:val="0"/>
        <w:adjustRightInd w:val="0"/>
        <w:rPr>
          <w:rFonts w:ascii="Garamond" w:hAnsi="Garamond" w:cs="Times New Roman"/>
          <w:sz w:val="22"/>
          <w:szCs w:val="22"/>
        </w:rPr>
      </w:pPr>
      <w:r w:rsidRPr="007B3180">
        <w:rPr>
          <w:rFonts w:ascii="Garamond" w:hAnsi="Garamond" w:cs="Times New Roman"/>
          <w:sz w:val="22"/>
          <w:szCs w:val="22"/>
        </w:rPr>
        <w:t xml:space="preserve">The </w:t>
      </w:r>
      <w:r w:rsidRPr="007B3180">
        <w:rPr>
          <w:rFonts w:ascii="Garamond" w:hAnsi="Garamond" w:cs="Times New Roman"/>
          <w:b/>
          <w:sz w:val="22"/>
          <w:szCs w:val="22"/>
        </w:rPr>
        <w:t xml:space="preserve">Compliance Map </w:t>
      </w:r>
      <w:r w:rsidRPr="007B3180">
        <w:rPr>
          <w:rFonts w:ascii="Garamond" w:hAnsi="Garamond" w:cs="Times New Roman"/>
          <w:sz w:val="22"/>
          <w:szCs w:val="22"/>
        </w:rPr>
        <w:t xml:space="preserve">tab gives the user a geographic navigation interface. The heat map can also be used to filter specific country cases and </w:t>
      </w:r>
      <w:proofErr w:type="spellStart"/>
      <w:r w:rsidRPr="007B3180">
        <w:rPr>
          <w:rFonts w:ascii="Garamond" w:hAnsi="Garamond" w:cs="Times New Roman"/>
          <w:sz w:val="22"/>
          <w:szCs w:val="22"/>
        </w:rPr>
        <w:t>mousing</w:t>
      </w:r>
      <w:proofErr w:type="spellEnd"/>
      <w:r w:rsidRPr="007B3180">
        <w:rPr>
          <w:rFonts w:ascii="Garamond" w:hAnsi="Garamond" w:cs="Times New Roman"/>
          <w:sz w:val="22"/>
          <w:szCs w:val="22"/>
        </w:rPr>
        <w:t xml:space="preserve"> over a country gives specific details of compliance and the Council’s activities. Additional filters control the time frame on view as well as limiting to specific resolutions. </w:t>
      </w:r>
    </w:p>
    <w:p w14:paraId="3001DAAB" w14:textId="44F39F7B" w:rsidR="007B3180" w:rsidRDefault="007B3180" w:rsidP="007B3180">
      <w:pPr>
        <w:pStyle w:val="ListParagraph"/>
        <w:widowControl w:val="0"/>
        <w:numPr>
          <w:ilvl w:val="0"/>
          <w:numId w:val="2"/>
        </w:numPr>
        <w:autoSpaceDE w:val="0"/>
        <w:autoSpaceDN w:val="0"/>
        <w:adjustRightInd w:val="0"/>
        <w:rPr>
          <w:rFonts w:ascii="Garamond" w:hAnsi="Garamond" w:cs="Times New Roman"/>
          <w:sz w:val="22"/>
          <w:szCs w:val="22"/>
        </w:rPr>
      </w:pPr>
      <w:r w:rsidRPr="007B3180">
        <w:rPr>
          <w:rFonts w:ascii="Garamond" w:hAnsi="Garamond" w:cs="Times New Roman"/>
          <w:sz w:val="22"/>
          <w:szCs w:val="22"/>
        </w:rPr>
        <w:t xml:space="preserve">The </w:t>
      </w:r>
      <w:r w:rsidRPr="007B3180">
        <w:rPr>
          <w:rFonts w:ascii="Garamond" w:hAnsi="Garamond" w:cs="Times New Roman"/>
          <w:b/>
          <w:sz w:val="22"/>
          <w:szCs w:val="22"/>
        </w:rPr>
        <w:t>Trends in Compliance</w:t>
      </w:r>
      <w:r w:rsidRPr="007B3180">
        <w:rPr>
          <w:rFonts w:ascii="Garamond" w:hAnsi="Garamond" w:cs="Times New Roman"/>
          <w:sz w:val="22"/>
          <w:szCs w:val="22"/>
        </w:rPr>
        <w:t xml:space="preserve"> tab shows trends in compliance over time.  The main chart gives the average compliance score per resolution as well as a trend line that appears as a dashed red line. </w:t>
      </w:r>
      <w:r>
        <w:rPr>
          <w:rFonts w:ascii="Garamond" w:hAnsi="Garamond" w:cs="Times New Roman"/>
          <w:sz w:val="22"/>
          <w:szCs w:val="22"/>
        </w:rPr>
        <w:t xml:space="preserve">The pie charts show the </w:t>
      </w:r>
      <w:proofErr w:type="spellStart"/>
      <w:r>
        <w:rPr>
          <w:rFonts w:ascii="Garamond" w:hAnsi="Garamond" w:cs="Times New Roman"/>
          <w:sz w:val="22"/>
          <w:szCs w:val="22"/>
        </w:rPr>
        <w:t>aggreagate</w:t>
      </w:r>
      <w:proofErr w:type="spellEnd"/>
      <w:r>
        <w:rPr>
          <w:rFonts w:ascii="Garamond" w:hAnsi="Garamond" w:cs="Times New Roman"/>
          <w:sz w:val="22"/>
          <w:szCs w:val="22"/>
        </w:rPr>
        <w:t xml:space="preserve"> breakdown of compliance and depth of demand scores as well as the percentage of demands that request parties to engage in behavior agreed to in prior peace agreements (our proxy for resolutions that reinforce existing peace processes). Finally at the lower right, there is a breakdown of conflict intensity leading up to the demand.</w:t>
      </w:r>
    </w:p>
    <w:p w14:paraId="56C7AAE3" w14:textId="6E3BEA20" w:rsidR="007B3180" w:rsidRDefault="003939A2" w:rsidP="007B3180">
      <w:pPr>
        <w:pStyle w:val="ListParagraph"/>
        <w:widowControl w:val="0"/>
        <w:numPr>
          <w:ilvl w:val="0"/>
          <w:numId w:val="2"/>
        </w:numPr>
        <w:autoSpaceDE w:val="0"/>
        <w:autoSpaceDN w:val="0"/>
        <w:adjustRightInd w:val="0"/>
        <w:rPr>
          <w:rFonts w:ascii="Garamond" w:hAnsi="Garamond" w:cs="Times New Roman"/>
          <w:sz w:val="22"/>
          <w:szCs w:val="22"/>
        </w:rPr>
      </w:pPr>
      <w:r>
        <w:rPr>
          <w:rFonts w:ascii="Garamond" w:hAnsi="Garamond" w:cs="Times New Roman"/>
          <w:sz w:val="22"/>
          <w:szCs w:val="22"/>
        </w:rPr>
        <w:t xml:space="preserve">The </w:t>
      </w:r>
      <w:r>
        <w:rPr>
          <w:rFonts w:ascii="Garamond" w:hAnsi="Garamond" w:cs="Times New Roman"/>
          <w:b/>
          <w:sz w:val="22"/>
          <w:szCs w:val="22"/>
        </w:rPr>
        <w:t>Carrots and Sticks</w:t>
      </w:r>
      <w:r>
        <w:rPr>
          <w:rFonts w:ascii="Garamond" w:hAnsi="Garamond" w:cs="Times New Roman"/>
          <w:sz w:val="22"/>
          <w:szCs w:val="22"/>
        </w:rPr>
        <w:t xml:space="preserve"> tab shows the breakdown of demands that include sanctions, incentives and threats on the right. On the left side of the page, we map out the breakdown of monitoring mechanism used by the Security Council to gauge compliance. </w:t>
      </w:r>
    </w:p>
    <w:p w14:paraId="0B91AFDC" w14:textId="448B972D" w:rsidR="003939A2" w:rsidRPr="007B3180" w:rsidRDefault="003939A2" w:rsidP="007B3180">
      <w:pPr>
        <w:pStyle w:val="ListParagraph"/>
        <w:widowControl w:val="0"/>
        <w:numPr>
          <w:ilvl w:val="0"/>
          <w:numId w:val="2"/>
        </w:numPr>
        <w:autoSpaceDE w:val="0"/>
        <w:autoSpaceDN w:val="0"/>
        <w:adjustRightInd w:val="0"/>
        <w:rPr>
          <w:rFonts w:ascii="Garamond" w:hAnsi="Garamond" w:cs="Times New Roman"/>
          <w:sz w:val="22"/>
          <w:szCs w:val="22"/>
        </w:rPr>
      </w:pPr>
      <w:r>
        <w:rPr>
          <w:rFonts w:ascii="Garamond" w:hAnsi="Garamond" w:cs="Times New Roman"/>
          <w:sz w:val="22"/>
          <w:szCs w:val="22"/>
        </w:rPr>
        <w:t xml:space="preserve">Finally, the </w:t>
      </w:r>
      <w:r>
        <w:rPr>
          <w:rFonts w:ascii="Garamond" w:hAnsi="Garamond" w:cs="Times New Roman"/>
          <w:b/>
          <w:sz w:val="22"/>
          <w:szCs w:val="22"/>
        </w:rPr>
        <w:t xml:space="preserve">Field Presence </w:t>
      </w:r>
      <w:r>
        <w:rPr>
          <w:rFonts w:ascii="Garamond" w:hAnsi="Garamond" w:cs="Times New Roman"/>
          <w:sz w:val="22"/>
          <w:szCs w:val="22"/>
        </w:rPr>
        <w:t xml:space="preserve">shows the number of demands that are adopted in the presence of various types of field presence.  </w:t>
      </w:r>
      <w:proofErr w:type="spellStart"/>
      <w:r>
        <w:rPr>
          <w:rFonts w:ascii="Garamond" w:hAnsi="Garamond" w:cs="Times New Roman"/>
          <w:sz w:val="22"/>
          <w:szCs w:val="22"/>
        </w:rPr>
        <w:t>Aditionally</w:t>
      </w:r>
      <w:proofErr w:type="spellEnd"/>
      <w:r>
        <w:rPr>
          <w:rFonts w:ascii="Garamond" w:hAnsi="Garamond" w:cs="Times New Roman"/>
          <w:sz w:val="22"/>
          <w:szCs w:val="22"/>
        </w:rPr>
        <w:t xml:space="preserve">, we show the correlation to peacekeeping force sized (both UN and non-UN) and compliance. At the bottom right, we show a breakdown of the types of thematic requests contained in Security Council demands.  </w:t>
      </w:r>
    </w:p>
    <w:p w14:paraId="5F7FDC77" w14:textId="77777777" w:rsidR="007B3180" w:rsidRDefault="007B3180" w:rsidP="007B3180">
      <w:pPr>
        <w:widowControl w:val="0"/>
        <w:autoSpaceDE w:val="0"/>
        <w:autoSpaceDN w:val="0"/>
        <w:adjustRightInd w:val="0"/>
        <w:rPr>
          <w:rFonts w:ascii="Garamond" w:hAnsi="Garamond" w:cs="Times New Roman"/>
          <w:sz w:val="22"/>
          <w:szCs w:val="22"/>
        </w:rPr>
      </w:pPr>
    </w:p>
    <w:p w14:paraId="7A971B5A" w14:textId="553B388A" w:rsidR="007B3180" w:rsidRDefault="007B3180" w:rsidP="007B3180">
      <w:pPr>
        <w:widowControl w:val="0"/>
        <w:autoSpaceDE w:val="0"/>
        <w:autoSpaceDN w:val="0"/>
        <w:adjustRightInd w:val="0"/>
        <w:rPr>
          <w:rFonts w:ascii="Garamond" w:hAnsi="Garamond" w:cs="Times New Roman"/>
          <w:sz w:val="22"/>
          <w:szCs w:val="22"/>
        </w:rPr>
      </w:pPr>
      <w:r>
        <w:rPr>
          <w:rFonts w:ascii="Garamond" w:hAnsi="Garamond" w:cs="Times New Roman"/>
          <w:sz w:val="22"/>
          <w:szCs w:val="22"/>
        </w:rPr>
        <w:t>Please note that many of the graphs presented here double as filters, so feel free to navigate to whatever subset of data you’re interested in.  If you find yourself lost and need to reset the page, you can find a reset button at the bottom of the page.</w:t>
      </w:r>
    </w:p>
    <w:p w14:paraId="268C975A" w14:textId="77777777" w:rsidR="007B3180" w:rsidRDefault="007B3180" w:rsidP="00BA21F0">
      <w:pPr>
        <w:widowControl w:val="0"/>
        <w:autoSpaceDE w:val="0"/>
        <w:autoSpaceDN w:val="0"/>
        <w:adjustRightInd w:val="0"/>
        <w:rPr>
          <w:rFonts w:ascii="Garamond" w:hAnsi="Garamond" w:cs="Times New Roman"/>
          <w:sz w:val="22"/>
          <w:szCs w:val="22"/>
        </w:rPr>
      </w:pPr>
      <w:bookmarkStart w:id="0" w:name="_GoBack"/>
      <w:bookmarkEnd w:id="0"/>
    </w:p>
    <w:p w14:paraId="360D190B" w14:textId="4B74B204" w:rsidR="00FC5B55" w:rsidRDefault="00FC5B55" w:rsidP="00FC5B55">
      <w:pPr>
        <w:widowControl w:val="0"/>
        <w:autoSpaceDE w:val="0"/>
        <w:autoSpaceDN w:val="0"/>
        <w:adjustRightInd w:val="0"/>
        <w:rPr>
          <w:rFonts w:ascii="Garamond" w:hAnsi="Garamond" w:cs="Times New Roman"/>
          <w:sz w:val="22"/>
          <w:szCs w:val="22"/>
        </w:rPr>
      </w:pPr>
      <w:r>
        <w:rPr>
          <w:rFonts w:ascii="Garamond" w:hAnsi="Garamond" w:cs="Times New Roman"/>
          <w:sz w:val="22"/>
          <w:szCs w:val="22"/>
        </w:rPr>
        <w:t>A quick note on</w:t>
      </w:r>
      <w:r w:rsidR="007B3180">
        <w:rPr>
          <w:rFonts w:ascii="Garamond" w:hAnsi="Garamond" w:cs="Times New Roman"/>
          <w:sz w:val="22"/>
          <w:szCs w:val="22"/>
        </w:rPr>
        <w:t xml:space="preserve"> some</w:t>
      </w:r>
      <w:r>
        <w:rPr>
          <w:rFonts w:ascii="Garamond" w:hAnsi="Garamond" w:cs="Times New Roman"/>
          <w:sz w:val="22"/>
          <w:szCs w:val="22"/>
        </w:rPr>
        <w:t xml:space="preserve"> d</w:t>
      </w:r>
      <w:r w:rsidR="00AF7511">
        <w:rPr>
          <w:rFonts w:ascii="Garamond" w:hAnsi="Garamond" w:cs="Times New Roman"/>
          <w:sz w:val="22"/>
          <w:szCs w:val="22"/>
        </w:rPr>
        <w:t>efinitions:</w:t>
      </w:r>
    </w:p>
    <w:p w14:paraId="6CFD9DD0" w14:textId="413778EB" w:rsidR="00FC5B55" w:rsidRDefault="00FC5B55" w:rsidP="00FC5B55">
      <w:pPr>
        <w:widowControl w:val="0"/>
        <w:autoSpaceDE w:val="0"/>
        <w:autoSpaceDN w:val="0"/>
        <w:adjustRightInd w:val="0"/>
        <w:ind w:left="720"/>
        <w:rPr>
          <w:rFonts w:ascii="Garamond" w:hAnsi="Garamond" w:cs="Times New Roman"/>
          <w:sz w:val="22"/>
          <w:szCs w:val="22"/>
        </w:rPr>
      </w:pPr>
      <w:r w:rsidRPr="00FC5B55">
        <w:rPr>
          <w:rFonts w:ascii="Garamond" w:hAnsi="Garamond" w:cs="Times New Roman"/>
          <w:b/>
          <w:sz w:val="22"/>
          <w:szCs w:val="22"/>
        </w:rPr>
        <w:t>Civil War</w:t>
      </w:r>
      <w:r w:rsidRPr="00FC5B55">
        <w:rPr>
          <w:rFonts w:ascii="Garamond" w:hAnsi="Garamond" w:cs="Times New Roman"/>
          <w:sz w:val="22"/>
          <w:szCs w:val="22"/>
        </w:rPr>
        <w:t xml:space="preserve"> - A civil war consists of one or several simultaneous disputes over generally incompatible positions that (1) concern government and/or territory in a state; (2) are causally linked to the use of armed force, resulting in at least 500 battle-related deaths during any given year during the conflict; and (3) involve two or more parties, of which the primary warring parties are the government of the state where armed force is used, and one or several </w:t>
      </w:r>
      <w:proofErr w:type="spellStart"/>
      <w:r w:rsidRPr="00FC5B55">
        <w:rPr>
          <w:rFonts w:ascii="Garamond" w:hAnsi="Garamond" w:cs="Times New Roman"/>
          <w:sz w:val="22"/>
          <w:szCs w:val="22"/>
        </w:rPr>
        <w:t>nonstate</w:t>
      </w:r>
      <w:proofErr w:type="spellEnd"/>
      <w:r w:rsidRPr="00FC5B55">
        <w:rPr>
          <w:rFonts w:ascii="Garamond" w:hAnsi="Garamond" w:cs="Times New Roman"/>
          <w:sz w:val="22"/>
          <w:szCs w:val="22"/>
        </w:rPr>
        <w:t xml:space="preserve"> opposition organizations.</w:t>
      </w:r>
    </w:p>
    <w:p w14:paraId="6BB32A30" w14:textId="77777777" w:rsidR="007B3180" w:rsidRDefault="007B3180" w:rsidP="00FC5B55">
      <w:pPr>
        <w:widowControl w:val="0"/>
        <w:autoSpaceDE w:val="0"/>
        <w:autoSpaceDN w:val="0"/>
        <w:adjustRightInd w:val="0"/>
        <w:ind w:left="720"/>
        <w:rPr>
          <w:rFonts w:ascii="Garamond" w:hAnsi="Garamond" w:cs="Times New Roman"/>
          <w:sz w:val="22"/>
          <w:szCs w:val="22"/>
        </w:rPr>
      </w:pPr>
    </w:p>
    <w:p w14:paraId="1B9A75E6" w14:textId="77777777" w:rsidR="007B3180" w:rsidRPr="00FC5B55" w:rsidRDefault="007B3180" w:rsidP="007B3180">
      <w:pPr>
        <w:widowControl w:val="0"/>
        <w:autoSpaceDE w:val="0"/>
        <w:autoSpaceDN w:val="0"/>
        <w:adjustRightInd w:val="0"/>
        <w:ind w:left="720"/>
        <w:rPr>
          <w:rFonts w:ascii="Garamond" w:hAnsi="Garamond" w:cs="Times New Roman"/>
          <w:sz w:val="22"/>
          <w:szCs w:val="22"/>
        </w:rPr>
      </w:pPr>
      <w:r w:rsidRPr="00FC5B55">
        <w:rPr>
          <w:rFonts w:ascii="Garamond" w:hAnsi="Garamond" w:cs="Times New Roman"/>
          <w:b/>
          <w:sz w:val="22"/>
          <w:szCs w:val="22"/>
        </w:rPr>
        <w:t>Demand</w:t>
      </w:r>
      <w:r w:rsidRPr="00FC5B55">
        <w:rPr>
          <w:rFonts w:ascii="Garamond" w:hAnsi="Garamond" w:cs="Times New Roman"/>
          <w:sz w:val="22"/>
          <w:szCs w:val="22"/>
        </w:rPr>
        <w:t xml:space="preserve"> - This </w:t>
      </w:r>
      <w:r>
        <w:rPr>
          <w:rFonts w:ascii="Garamond" w:hAnsi="Garamond" w:cs="Times New Roman"/>
          <w:sz w:val="22"/>
          <w:szCs w:val="22"/>
        </w:rPr>
        <w:t>is the main unit of observation of our dataset and d</w:t>
      </w:r>
      <w:r w:rsidRPr="00FC5B55">
        <w:rPr>
          <w:rFonts w:ascii="Garamond" w:hAnsi="Garamond" w:cs="Times New Roman"/>
          <w:sz w:val="22"/>
          <w:szCs w:val="22"/>
        </w:rPr>
        <w:t>esignates any behavioral prescription contained in an operative paragraph of a Security Council resolution.</w:t>
      </w:r>
    </w:p>
    <w:p w14:paraId="0FA9B09B" w14:textId="77777777" w:rsidR="007B3180" w:rsidRDefault="007B3180" w:rsidP="007B3180">
      <w:pPr>
        <w:widowControl w:val="0"/>
        <w:autoSpaceDE w:val="0"/>
        <w:autoSpaceDN w:val="0"/>
        <w:adjustRightInd w:val="0"/>
        <w:rPr>
          <w:rFonts w:ascii="Garamond" w:hAnsi="Garamond" w:cs="Times New Roman"/>
          <w:sz w:val="22"/>
          <w:szCs w:val="22"/>
        </w:rPr>
      </w:pPr>
    </w:p>
    <w:p w14:paraId="589C306B" w14:textId="29DDBEDB" w:rsidR="00FC5B55" w:rsidRDefault="007B3180" w:rsidP="007B3180">
      <w:pPr>
        <w:widowControl w:val="0"/>
        <w:autoSpaceDE w:val="0"/>
        <w:autoSpaceDN w:val="0"/>
        <w:adjustRightInd w:val="0"/>
        <w:ind w:left="720"/>
        <w:rPr>
          <w:rFonts w:ascii="Garamond" w:hAnsi="Garamond" w:cs="Times New Roman"/>
          <w:sz w:val="22"/>
          <w:szCs w:val="22"/>
        </w:rPr>
      </w:pPr>
      <w:r w:rsidRPr="00FC5B55">
        <w:rPr>
          <w:rFonts w:ascii="Garamond" w:hAnsi="Garamond" w:cs="Times New Roman"/>
          <w:b/>
          <w:sz w:val="22"/>
          <w:szCs w:val="22"/>
        </w:rPr>
        <w:t>Depth of Demand</w:t>
      </w:r>
      <w:r>
        <w:rPr>
          <w:rFonts w:ascii="Garamond" w:hAnsi="Garamond" w:cs="Times New Roman"/>
          <w:sz w:val="22"/>
          <w:szCs w:val="22"/>
        </w:rPr>
        <w:t xml:space="preserve"> – This three-point scale refers to the hazard to addressees associated with compliance with Security Council demands. </w:t>
      </w:r>
    </w:p>
    <w:p w14:paraId="0A20DD7D" w14:textId="77777777" w:rsidR="007B3180" w:rsidRPr="00FC5B55" w:rsidRDefault="007B3180" w:rsidP="007B3180">
      <w:pPr>
        <w:widowControl w:val="0"/>
        <w:autoSpaceDE w:val="0"/>
        <w:autoSpaceDN w:val="0"/>
        <w:adjustRightInd w:val="0"/>
        <w:rPr>
          <w:rFonts w:ascii="Garamond" w:hAnsi="Garamond" w:cs="Times New Roman"/>
          <w:sz w:val="22"/>
          <w:szCs w:val="22"/>
        </w:rPr>
      </w:pPr>
    </w:p>
    <w:p w14:paraId="5C1EC061" w14:textId="24CCFB83" w:rsidR="00AF7511" w:rsidRDefault="00AF7511" w:rsidP="00FC5B55">
      <w:pPr>
        <w:widowControl w:val="0"/>
        <w:autoSpaceDE w:val="0"/>
        <w:autoSpaceDN w:val="0"/>
        <w:adjustRightInd w:val="0"/>
        <w:ind w:left="720"/>
        <w:rPr>
          <w:rFonts w:ascii="Garamond" w:hAnsi="Garamond" w:cs="Times New Roman"/>
          <w:sz w:val="22"/>
          <w:szCs w:val="22"/>
        </w:rPr>
      </w:pPr>
      <w:r w:rsidRPr="00FC5B55">
        <w:rPr>
          <w:rFonts w:ascii="Garamond" w:hAnsi="Garamond" w:cs="Times New Roman"/>
          <w:b/>
          <w:sz w:val="22"/>
          <w:szCs w:val="22"/>
        </w:rPr>
        <w:t>Compliance</w:t>
      </w:r>
      <w:r w:rsidR="00BF12FF">
        <w:rPr>
          <w:rFonts w:ascii="Garamond" w:hAnsi="Garamond" w:cs="Times New Roman"/>
          <w:sz w:val="22"/>
          <w:szCs w:val="22"/>
        </w:rPr>
        <w:t xml:space="preserve"> </w:t>
      </w:r>
      <w:r w:rsidR="00FC5B55">
        <w:rPr>
          <w:rFonts w:ascii="Garamond" w:hAnsi="Garamond" w:cs="Times New Roman"/>
          <w:sz w:val="22"/>
          <w:szCs w:val="22"/>
        </w:rPr>
        <w:t>–</w:t>
      </w:r>
      <w:r w:rsidR="00BF12FF">
        <w:rPr>
          <w:rFonts w:ascii="Garamond" w:hAnsi="Garamond" w:cs="Times New Roman"/>
          <w:sz w:val="22"/>
          <w:szCs w:val="22"/>
        </w:rPr>
        <w:t xml:space="preserve"> </w:t>
      </w:r>
      <w:r w:rsidR="00FC5B55" w:rsidRPr="00FC5B55">
        <w:rPr>
          <w:rFonts w:ascii="Garamond" w:hAnsi="Garamond" w:cs="Times New Roman"/>
          <w:sz w:val="22"/>
          <w:szCs w:val="22"/>
        </w:rPr>
        <w:t xml:space="preserve">This </w:t>
      </w:r>
      <w:r w:rsidR="00FC5B55">
        <w:rPr>
          <w:rFonts w:ascii="Garamond" w:hAnsi="Garamond" w:cs="Times New Roman"/>
          <w:sz w:val="22"/>
          <w:szCs w:val="22"/>
        </w:rPr>
        <w:t>four-point scale</w:t>
      </w:r>
      <w:r w:rsidR="00FC5B55" w:rsidRPr="00FC5B55">
        <w:rPr>
          <w:rFonts w:ascii="Garamond" w:hAnsi="Garamond" w:cs="Times New Roman"/>
          <w:sz w:val="22"/>
          <w:szCs w:val="22"/>
        </w:rPr>
        <w:t xml:space="preserve"> refers to all conduct (acts and omissions) by an actor that</w:t>
      </w:r>
      <w:r w:rsidR="00FC5B55">
        <w:rPr>
          <w:rFonts w:ascii="Garamond" w:hAnsi="Garamond" w:cs="Times New Roman"/>
          <w:sz w:val="22"/>
          <w:szCs w:val="22"/>
        </w:rPr>
        <w:t xml:space="preserve"> </w:t>
      </w:r>
      <w:r w:rsidR="00FC5B55" w:rsidRPr="00FC5B55">
        <w:rPr>
          <w:rFonts w:ascii="Garamond" w:hAnsi="Garamond" w:cs="Times New Roman"/>
          <w:sz w:val="22"/>
          <w:szCs w:val="22"/>
        </w:rPr>
        <w:t>conforms to the requirements of the behavioral prescriptions addressed to</w:t>
      </w:r>
      <w:r w:rsidR="00FC5B55">
        <w:rPr>
          <w:rFonts w:ascii="Garamond" w:hAnsi="Garamond" w:cs="Times New Roman"/>
          <w:sz w:val="22"/>
          <w:szCs w:val="22"/>
        </w:rPr>
        <w:t xml:space="preserve"> </w:t>
      </w:r>
      <w:r w:rsidR="00FC5B55" w:rsidRPr="00FC5B55">
        <w:rPr>
          <w:rFonts w:ascii="Garamond" w:hAnsi="Garamond" w:cs="Times New Roman"/>
          <w:sz w:val="22"/>
          <w:szCs w:val="22"/>
        </w:rPr>
        <w:t>them. Conversely, noncompliance is conduct that fails to conform to such</w:t>
      </w:r>
      <w:r w:rsidR="00FC5B55">
        <w:rPr>
          <w:rFonts w:ascii="Garamond" w:hAnsi="Garamond" w:cs="Times New Roman"/>
          <w:sz w:val="22"/>
          <w:szCs w:val="22"/>
        </w:rPr>
        <w:t xml:space="preserve"> </w:t>
      </w:r>
      <w:r w:rsidR="00FC5B55" w:rsidRPr="00FC5B55">
        <w:rPr>
          <w:rFonts w:ascii="Garamond" w:hAnsi="Garamond" w:cs="Times New Roman"/>
          <w:sz w:val="22"/>
          <w:szCs w:val="22"/>
        </w:rPr>
        <w:t>requirements. The concept of compliance only deals with the degree of</w:t>
      </w:r>
      <w:r w:rsidR="00FC5B55">
        <w:rPr>
          <w:rFonts w:ascii="Garamond" w:hAnsi="Garamond" w:cs="Times New Roman"/>
          <w:sz w:val="22"/>
          <w:szCs w:val="22"/>
        </w:rPr>
        <w:t xml:space="preserve"> </w:t>
      </w:r>
      <w:r w:rsidR="00FC5B55" w:rsidRPr="00FC5B55">
        <w:rPr>
          <w:rFonts w:ascii="Garamond" w:hAnsi="Garamond" w:cs="Times New Roman"/>
          <w:sz w:val="22"/>
          <w:szCs w:val="22"/>
        </w:rPr>
        <w:t xml:space="preserve">conformity between a norm and the norm addressee’s conduct. </w:t>
      </w:r>
      <w:proofErr w:type="gramStart"/>
      <w:r w:rsidR="00FC5B55" w:rsidRPr="00FC5B55">
        <w:rPr>
          <w:rFonts w:ascii="Garamond" w:hAnsi="Garamond" w:cs="Times New Roman"/>
          <w:sz w:val="22"/>
          <w:szCs w:val="22"/>
        </w:rPr>
        <w:t>It is agnostic</w:t>
      </w:r>
      <w:r w:rsidR="00FC5B55">
        <w:rPr>
          <w:rFonts w:ascii="Garamond" w:hAnsi="Garamond" w:cs="Times New Roman"/>
          <w:sz w:val="22"/>
          <w:szCs w:val="22"/>
        </w:rPr>
        <w:t xml:space="preserve"> </w:t>
      </w:r>
      <w:r w:rsidR="00FC5B55" w:rsidRPr="00FC5B55">
        <w:rPr>
          <w:rFonts w:ascii="Garamond" w:hAnsi="Garamond" w:cs="Times New Roman"/>
          <w:sz w:val="22"/>
          <w:szCs w:val="22"/>
        </w:rPr>
        <w:t>as to the reasons why this conformity does, or does not</w:t>
      </w:r>
      <w:proofErr w:type="gramEnd"/>
      <w:r w:rsidR="00FC5B55" w:rsidRPr="00FC5B55">
        <w:rPr>
          <w:rFonts w:ascii="Garamond" w:hAnsi="Garamond" w:cs="Times New Roman"/>
          <w:sz w:val="22"/>
          <w:szCs w:val="22"/>
        </w:rPr>
        <w:t xml:space="preserve">, </w:t>
      </w:r>
      <w:proofErr w:type="gramStart"/>
      <w:r w:rsidR="00FC5B55" w:rsidRPr="00FC5B55">
        <w:rPr>
          <w:rFonts w:ascii="Garamond" w:hAnsi="Garamond" w:cs="Times New Roman"/>
          <w:sz w:val="22"/>
          <w:szCs w:val="22"/>
        </w:rPr>
        <w:t>occur</w:t>
      </w:r>
      <w:proofErr w:type="gramEnd"/>
      <w:r w:rsidR="00FC5B55" w:rsidRPr="00FC5B55">
        <w:rPr>
          <w:rFonts w:ascii="Garamond" w:hAnsi="Garamond" w:cs="Times New Roman"/>
          <w:sz w:val="22"/>
          <w:szCs w:val="22"/>
        </w:rPr>
        <w:t>.</w:t>
      </w:r>
    </w:p>
    <w:p w14:paraId="12AF5FDF" w14:textId="77777777" w:rsidR="00FC5B55" w:rsidRDefault="00FC5B55" w:rsidP="007B3180">
      <w:pPr>
        <w:widowControl w:val="0"/>
        <w:autoSpaceDE w:val="0"/>
        <w:autoSpaceDN w:val="0"/>
        <w:adjustRightInd w:val="0"/>
        <w:rPr>
          <w:rFonts w:ascii="Garamond" w:hAnsi="Garamond" w:cs="Times New Roman"/>
          <w:sz w:val="22"/>
          <w:szCs w:val="22"/>
        </w:rPr>
      </w:pPr>
    </w:p>
    <w:sectPr w:rsidR="00FC5B55" w:rsidSect="00B53C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43341A1"/>
    <w:multiLevelType w:val="hybridMultilevel"/>
    <w:tmpl w:val="E9B6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1F0"/>
    <w:rsid w:val="001505B4"/>
    <w:rsid w:val="003939A2"/>
    <w:rsid w:val="007B3180"/>
    <w:rsid w:val="008D3536"/>
    <w:rsid w:val="00AF7511"/>
    <w:rsid w:val="00B53C58"/>
    <w:rsid w:val="00BA21F0"/>
    <w:rsid w:val="00BF12FF"/>
    <w:rsid w:val="00FC5B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80BE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1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526</Words>
  <Characters>3000</Characters>
  <Application>Microsoft Macintosh Word</Application>
  <DocSecurity>0</DocSecurity>
  <Lines>25</Lines>
  <Paragraphs>7</Paragraphs>
  <ScaleCrop>false</ScaleCrop>
  <Company>IPI</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 Peace Institute</dc:creator>
  <cp:keywords/>
  <dc:description/>
  <cp:lastModifiedBy>Int. Peace Institute</cp:lastModifiedBy>
  <cp:revision>5</cp:revision>
  <dcterms:created xsi:type="dcterms:W3CDTF">2012-08-15T20:46:00Z</dcterms:created>
  <dcterms:modified xsi:type="dcterms:W3CDTF">2012-10-04T17:39:00Z</dcterms:modified>
</cp:coreProperties>
</file>