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color w:val="666666"/>
          <w:sz w:val="24"/>
          <w:szCs w:val="24"/>
        </w:rPr>
        <w:t xml:space="preserve">AI 문명전환 투자 산업지도</w:t>
      </w:r>
    </w:p>
    <w:p>
      <w:pPr>
        <w:spacing w:after="200"/>
        <w:jc w:val="center"/>
      </w:pPr>
      <w:r>
        <w:rPr>
          <w:rFonts w:ascii="Arial" w:cs="Arial" w:eastAsia="Arial" w:hAnsi="Arial"/>
          <w:b/>
          <w:bCs/>
          <w:color w:val="1B365D"/>
          <w:sz w:val="72"/>
          <w:szCs w:val="72"/>
        </w:rPr>
        <w:t xml:space="preserve">SECTOR 0</w:t>
      </w:r>
    </w:p>
    <w:p>
      <w:pPr>
        <w:spacing w:after="120"/>
        <w:jc w:val="center"/>
      </w:pPr>
      <w:r>
        <w:rPr>
          <w:rFonts w:ascii="Arial" w:cs="Arial" w:eastAsia="Arial" w:hAnsi="Arial"/>
          <w:b/>
          <w:bCs/>
          <w:color w:val="2E75B6"/>
          <w:sz w:val="40"/>
          <w:szCs w:val="40"/>
        </w:rPr>
        <w:t xml:space="preserve">골격(원자재) — 희토류·소재·전략금속</w:t>
      </w:r>
    </w:p>
    <w:p>
      <w:pPr>
        <w:spacing w:after="100"/>
        <w:jc w:val="center"/>
      </w:pPr>
      <w:r>
        <w:rPr>
          <w:rFonts w:ascii="Arial" w:cs="Arial" w:eastAsia="Arial" w:hAnsi="Arial"/>
          <w:color w:val="E8913A"/>
          <w:sz w:val="24"/>
          <w:szCs w:val="24"/>
        </w:rPr>
        <w:t xml:space="preserve">금 · 은 · 구리 · 알루미늄 · 희토류 · 반도체소재 · 배터리광물</w:t>
      </w:r>
    </w:p>
    <w:p>
      <w:pPr>
        <w:pBdr>
          <w:bottom w:val="single" w:color="E8913A" w:sz="6" w:space="1"/>
        </w:pBdr>
        <w:spacing w:before="200" w:after="200"/>
      </w:pPr>
      <w:r>
        <w:rPr>
          <w:rFonts w:ascii="Arial" w:cs="Arial" w:eastAsia="Arial" w:hAnsi="Arial"/>
          <w:sz w:val="2"/>
          <w:szCs w:val="2"/>
        </w:rPr>
        <w:t xml:space="preserve"/>
      </w:r>
    </w:p>
    <w:p>
      <w:pPr>
        <w:spacing w:after="60"/>
        <w:jc w:val="center"/>
      </w:pPr>
      <w:r>
        <w:rPr>
          <w:rFonts w:ascii="Arial" w:cs="Arial" w:eastAsia="Arial" w:hAnsi="Arial"/>
          <w:i/>
          <w:iCs/>
          <w:color w:val="666666"/>
          <w:sz w:val="22"/>
          <w:szCs w:val="22"/>
        </w:rPr>
        <w:t xml:space="preserve">AI 하드웨어의 뿌리. 공급망 리스크가 곧 투자 포인트.</w:t>
      </w:r>
    </w:p>
    <w:p>
      <w:pPr>
        <w:spacing w:before="600"/>
        <w:jc w:val="center"/>
      </w:pPr>
      <w:r>
        <w:rPr>
          <w:rFonts w:ascii="Arial" w:cs="Arial" w:eastAsia="Arial" w:hAnsi="Arial"/>
          <w:color w:val="666666"/>
          <w:sz w:val="22"/>
          <w:szCs w:val="22"/>
        </w:rPr>
        <w:t xml:space="preserve">머니메이커스  |  2026년 2월 확장판</w:t>
      </w:r>
    </w:p>
    <w:p>
      <w:r>
        <w:br w:type="page"/>
      </w:r>
    </w:p>
    <w:p>
      <w:pPr>
        <w:pStyle w:val="Heading1"/>
        <w:spacing w:before="360" w:after="200"/>
      </w:pPr>
      <w:r>
        <w:rPr>
          <w:rFonts w:ascii="Arial" w:cs="Arial" w:eastAsia="Arial" w:hAnsi="Arial"/>
          <w:b/>
          <w:bCs/>
          <w:color w:val="1B365D"/>
          <w:sz w:val="36"/>
          <w:szCs w:val="36"/>
        </w:rPr>
        <w:t xml:space="preserve">Executive Summary</w:t>
      </w:r>
    </w:p>
    <w:p>
      <w:pPr>
        <w:spacing w:before="60" w:after="100" w:line="340"/>
      </w:pPr>
      <w:r>
        <w:rPr>
          <w:rFonts w:ascii="Arial" w:cs="Arial" w:eastAsia="Arial" w:hAnsi="Arial"/>
          <w:b w:val="false"/>
          <w:bCs w:val="false"/>
          <w:i w:val="false"/>
          <w:iCs w:val="false"/>
          <w:color w:val="000000"/>
          <w:sz w:val="21"/>
          <w:szCs w:val="21"/>
        </w:rPr>
        <w:t xml:space="preserve">AI 시대의 투자를 논할 때, 대부분의 투자자들은 완성품에 주목합니다. 엔비디아 GPU, 데이터센터, 클라우드 SaaS. 그러나 진정한 '상류' 투자자라면, 그 모든 것의 '뿌리'부터 봐야 합니다. 바로 희토류, 반도체 특수가스, 배터리 광물, 그리고 금·은·구리·알루미늄 — 이것이 AI 문명의 '골격'입니다.</w:t>
      </w:r>
    </w:p>
    <w:p>
      <w:pPr>
        <w:spacing w:before="60" w:after="100" w:line="340"/>
      </w:pPr>
      <w:r>
        <w:rPr>
          <w:rFonts w:ascii="Arial" w:cs="Arial" w:eastAsia="Arial" w:hAnsi="Arial"/>
          <w:b w:val="false"/>
          <w:bCs w:val="false"/>
          <w:i w:val="false"/>
          <w:iCs w:val="false"/>
          <w:color w:val="000000"/>
          <w:sz w:val="21"/>
          <w:szCs w:val="21"/>
        </w:rPr>
        <w:t xml:space="preserve">이 보고서는 AI 산업의 가장 밑단, 원자재 섹터를 체계적으로 분석합니다. 기존 3대 하위 영역(희토류·반도체소재·배터리광물)에 더해, 이번 확장판에서는 금·은·구리·알루미늄을 각각 독립 챕터로 구성했습니다. 2025년은 원자재의 해였습니다. 금은 55% 이상 상승하며 사상 최초로 $4,000/oz를 돌파했고, 은은 147% 폭등했으며, 구리는 사상 최고치를 경신했습니다. 이 모든 것의 공통분모는 'AI 인프라 수요'와 '지정학적 공급망 재편'입니다.</w:t>
      </w:r>
    </w:p>
    <w:p>
      <w:pPr>
        <w:spacing w:before="60" w:after="100" w:line="340"/>
      </w:pPr>
      <w:r>
        <w:rPr>
          <w:rFonts w:ascii="Arial" w:cs="Arial" w:eastAsia="Arial" w:hAnsi="Arial"/>
          <w:b w:val="false"/>
          <w:bCs w:val="false"/>
          <w:i w:val="false"/>
          <w:iCs w:val="false"/>
          <w:color w:val="000000"/>
          <w:sz w:val="21"/>
          <w:szCs w:val="21"/>
        </w:rPr>
        <w:t xml:space="preserve">핵심 투자 논리를 한 문장으로 정리하면 이렇습니다: 이 섹터는 '공급망 병목'이 곧 '투자 기회'로 전환되는 독특한 구조를 가집니다. 중국이 희토류 채굴의 69%, 정제의 90%를 장악하고, 은 정제의 60~70%를 통제하는 상황에서, 미국-중국 무역전쟁이 원자재 무기화를 현실로 만들고 있습니다. 2025년 4월 중국의 디스프로슈·터비움 수출통제가 이를 증명했습니다. 한편 반도체 소재 시장에서는 일본의 중국향 포토레지스트 수출 중단으로 한국 기업에게 새로운 기회가 열리고 있으며, 배터리 광물 분야에서는 ESS와 휴머노이드 로봇이라는 새로운 수요처가 폭발적으로 성장 중입니다.</w:t>
      </w:r>
    </w:p>
    <w:p>
      <w:pPr>
        <w:pBdr>
          <w:bottom w:val="single" w:color="2E75B6" w:sz="4" w:space="1"/>
        </w:pBdr>
        <w:spacing w:before="200" w:after="200"/>
      </w:pPr>
      <w:r>
        <w:rPr>
          <w:rFonts w:ascii="Arial" w:cs="Arial" w:eastAsia="Arial" w:hAnsi="Arial"/>
          <w:sz w:val="2"/>
          <w:szCs w:val="2"/>
        </w:rPr>
        <w:t xml:space="preserve"/>
      </w:r>
    </w:p>
    <w:p>
      <w:pPr>
        <w:pStyle w:val="Heading1"/>
        <w:spacing w:before="360" w:after="200"/>
      </w:pPr>
      <w:r>
        <w:rPr>
          <w:rFonts w:ascii="Arial" w:cs="Arial" w:eastAsia="Arial" w:hAnsi="Arial"/>
          <w:b/>
          <w:bCs/>
          <w:color w:val="1B365D"/>
          <w:sz w:val="36"/>
          <w:szCs w:val="36"/>
        </w:rPr>
        <w:t xml:space="preserve">PART I. 5대 전략금속 심층 분석</w:t>
      </w:r>
    </w:p>
    <w:p>
      <w:pPr>
        <w:spacing w:before="60" w:after="100" w:line="340"/>
      </w:pPr>
      <w:r>
        <w:rPr>
          <w:rFonts w:ascii="Arial" w:cs="Arial" w:eastAsia="Arial" w:hAnsi="Arial"/>
          <w:b w:val="false"/>
          <w:bCs w:val="false"/>
          <w:i w:val="false"/>
          <w:iCs w:val="false"/>
          <w:color w:val="000000"/>
          <w:sz w:val="21"/>
          <w:szCs w:val="21"/>
        </w:rPr>
        <w:t xml:space="preserve">AI 시대의 원자재는 단순한 상품(commodity)이 아닙니다. 금은 '디지털 시대의 신뢰 자산'이고, 은은 '차세대 산업금속'이며, 구리는 'AI의 혈관'이고, 알루미늄은 '데이터센터의 뼈대'이며, 희토류는 '로봇의 관절'입니다. 이 다섯 가지 금속이 AI 문명전환의 물리적 기반을 형성합니다. 2025년에는 금·은·구리가 동시에 사상 최고치를 기록했는데, 이 세 가지가 동시에 최고가를 찍은 것은 무려 45년 만의 일입니다. 그 자체가 우리가 지금 얼마나 특별한 시기에 있는지를 말해줍니다.</w:t>
      </w:r>
    </w:p>
    <w:p>
      <w:r>
        <w:br w:type="page"/>
      </w:r>
    </w:p>
    <w:p>
      <w:pPr>
        <w:pStyle w:val="Heading1"/>
        <w:spacing w:before="360" w:after="200"/>
      </w:pPr>
      <w:r>
        <w:rPr>
          <w:rFonts w:ascii="Arial" w:cs="Arial" w:eastAsia="Arial" w:hAnsi="Arial"/>
          <w:b/>
          <w:bCs/>
          <w:color w:val="1B365D"/>
          <w:sz w:val="36"/>
          <w:szCs w:val="36"/>
        </w:rPr>
        <w:t xml:space="preserve">Chapter 1. 금(Gold) — 디지털 시대의 신뢰 자산</w:t>
      </w:r>
    </w:p>
    <w:p>
      <w:pPr>
        <w:pBdr>
          <w:bottom w:val="single" w:color="B8860B" w:sz="6" w:space="1"/>
        </w:pBdr>
        <w:spacing w:before="200" w:after="200"/>
      </w:pPr>
      <w:r>
        <w:rPr>
          <w:rFonts w:ascii="Arial" w:cs="Arial" w:eastAsia="Arial" w:hAnsi="Arial"/>
          <w:sz w:val="2"/>
          <w:szCs w:val="2"/>
        </w:rPr>
        <w:t xml:space="preserve"/>
      </w:r>
    </w:p>
    <w:p>
      <w:pPr>
        <w:pStyle w:val="Heading2"/>
        <w:spacing w:before="280" w:after="160"/>
      </w:pPr>
      <w:r>
        <w:rPr>
          <w:rFonts w:ascii="Arial" w:cs="Arial" w:eastAsia="Arial" w:hAnsi="Arial"/>
          <w:b/>
          <w:bCs/>
          <w:color w:val="B8860B"/>
          <w:sz w:val="28"/>
          <w:szCs w:val="28"/>
        </w:rPr>
        <w:t xml:space="preserve">1-1. 2025년 결산: 역사적 랠리의 해부</w:t>
      </w:r>
    </w:p>
    <w:p>
      <w:pPr>
        <w:spacing w:before="60" w:after="100" w:line="340"/>
      </w:pPr>
      <w:r>
        <w:rPr>
          <w:rFonts w:ascii="Arial" w:cs="Arial" w:eastAsia="Arial" w:hAnsi="Arial"/>
          <w:b w:val="false"/>
          <w:bCs w:val="false"/>
          <w:i w:val="false"/>
          <w:iCs w:val="false"/>
          <w:color w:val="000000"/>
          <w:sz w:val="21"/>
          <w:szCs w:val="21"/>
        </w:rPr>
        <w:t xml:space="preserve">2025년 금 시장은 한마디로 '역사적'이었습니다. 금 가격은 연초 대비 55% 이상 상승하며 사상 최초로 $4,000/oz를 돌파했고, 연중 50회 이상의 사상 최고가를 경신했습니다. 1979년 이후 최강의 연간 퍼포먼스였습니다.</w:t>
      </w:r>
    </w:p>
    <w:p>
      <w:pPr>
        <w:spacing w:before="60" w:after="100" w:line="340"/>
      </w:pPr>
      <w:r>
        <w:rPr>
          <w:rFonts w:ascii="Arial" w:cs="Arial" w:eastAsia="Arial" w:hAnsi="Arial"/>
          <w:b w:val="false"/>
          <w:bCs w:val="false"/>
          <w:i w:val="false"/>
          <w:iCs w:val="false"/>
          <w:color w:val="000000"/>
          <w:sz w:val="21"/>
          <w:szCs w:val="21"/>
        </w:rPr>
        <w:t xml:space="preserve">J.P. Morgan에 따르면, 2025년 3분기 글로벌 금 수요는 분기 기준 사상 최대인 약 950톤에 달했습니다. 달러 기준으로 환산하면 약 1,090억 달러에 해당하며, 이는 직전 4분기 평균 대비 90% 증가한 수치입니다. 이 차이가 큽니다. 단순히 가격이 오른 것이 아니라, 실제 물리적 수요가 폭발적으로 늘어난 것이기 때문입니다. World Gold Council 역시 '2025년은 50회 이상의 사상 최고치와 60% 이상의 수익률을 기록한 경이로운 해'라고 평가했습니다.</w:t>
      </w:r>
    </w:p>
    <w:p>
      <w:pPr>
        <w:spacing w:before="200" w:after="120"/>
      </w:pPr>
      <w:r>
        <w:rPr>
          <w:rFonts w:ascii="Arial" w:cs="Arial" w:eastAsia="Arial" w:hAnsi="Arial"/>
          <w:b/>
          <w:bCs/>
          <w:color w:val="1B365D"/>
          <w:sz w:val="24"/>
          <w:szCs w:val="24"/>
        </w:rPr>
        <w:t xml:space="preserve">모멘텀 1: 중앙은행의 '탈달러화' 매수</w:t>
      </w:r>
    </w:p>
    <w:p>
      <w:pPr>
        <w:spacing w:before="60" w:after="100" w:line="340"/>
      </w:pPr>
      <w:r>
        <w:rPr>
          <w:rFonts w:ascii="Arial" w:cs="Arial" w:eastAsia="Arial" w:hAnsi="Arial"/>
          <w:b w:val="false"/>
          <w:bCs w:val="false"/>
          <w:i w:val="false"/>
          <w:iCs w:val="false"/>
          <w:color w:val="000000"/>
          <w:sz w:val="21"/>
          <w:szCs w:val="21"/>
        </w:rPr>
        <w:t xml:space="preserve">2022년 이후 3년 연속 글로벌 중앙은행들이 연간 1,000톤 이상의 금을 매입했습니다. 중국인민은행(PBOC)은 9개월 연속 금을 매입했고, 폴란드 국립은행이 2025년 최대 매수국(67톤)으로 부상했습니다. 터키와 카자흐스탄도 꾸준히 매입을 이어갔습니다. 이것은 단순한 포트폴리오 다변화가 아니라, '미국 국채 의존도를 줄이겠다'는 전략적 메시지입니다. J.P. Morgan은 2026년에도 약 755톤의 중앙은행 매수를 전망하는데, 이는 코로나 이전 평균(400~500톤) 대비 여전히 크게 높은 수준입니다. 다만 금 가격이 $4,000 이상에서는 같은 금액으로 매입할 수 있는 톤수가 줄어들기 때문에, 톤수 기준으로는 소폭 감소할 수 있지만 이는 구조적 전환이 아닌 기계적 조정입니다.</w:t>
      </w:r>
    </w:p>
    <w:p>
      <w:pPr>
        <w:spacing w:before="200" w:after="120"/>
      </w:pPr>
      <w:r>
        <w:rPr>
          <w:rFonts w:ascii="Arial" w:cs="Arial" w:eastAsia="Arial" w:hAnsi="Arial"/>
          <w:b/>
          <w:bCs/>
          <w:color w:val="1B365D"/>
          <w:sz w:val="24"/>
          <w:szCs w:val="24"/>
        </w:rPr>
        <w:t xml:space="preserve">모멘텀 2: 트럼프 관세 충격과 '디베이스먼트 트레이드'</w:t>
      </w:r>
    </w:p>
    <w:p>
      <w:pPr>
        <w:spacing w:before="60" w:after="100" w:line="340"/>
      </w:pPr>
      <w:r>
        <w:rPr>
          <w:rFonts w:ascii="Arial" w:cs="Arial" w:eastAsia="Arial" w:hAnsi="Arial"/>
          <w:b w:val="false"/>
          <w:bCs w:val="false"/>
          <w:i w:val="false"/>
          <w:iCs w:val="false"/>
          <w:color w:val="000000"/>
          <w:sz w:val="21"/>
          <w:szCs w:val="21"/>
        </w:rPr>
        <w:t xml:space="preserve">트럼프 행정부가 스위스산 금괴에 39%의 관세를 부과한 것은 금 시장 역사상 전례가 없는 일이었습니다. 스위스는 세계 최대 금괴 생산국 중 하나인데, 여기에 관세를 매긴다는 것은 금의 물리적 이동 비용을 직접 올린 것입니다. 이로 인해 미국 내 금 보유에 프리미엄이 형성되었고, 투자자들은 '달러 자체의 가치 하락'에 베팅하는 이른바 '디베이스먼트 트레이드'를 가속화했습니다. OANDA MarketPulse는 2025년을 '디베이스먼트 트레이드가 시장을 정의한 해'로 규정했습니다. 글로벌 부채가 340조 달러를 넘어서고, 정부 부채 비중이 사상 최대인 30%에 달하는 상황에서, 금은 '화폐 가치 하락에 대한 최후의 헤지'로 재확인된 것입니다.</w:t>
      </w:r>
    </w:p>
    <w:p>
      <w:pPr>
        <w:spacing w:before="200" w:after="120"/>
      </w:pPr>
      <w:r>
        <w:rPr>
          <w:rFonts w:ascii="Arial" w:cs="Arial" w:eastAsia="Arial" w:hAnsi="Arial"/>
          <w:b/>
          <w:bCs/>
          <w:color w:val="1B365D"/>
          <w:sz w:val="24"/>
          <w:szCs w:val="24"/>
        </w:rPr>
        <w:t xml:space="preserve">모멘텀 3: 연준 양적긴축 종료와 금리 인하 사이클</w:t>
      </w:r>
    </w:p>
    <w:p>
      <w:pPr>
        <w:spacing w:before="60" w:after="100" w:line="340"/>
      </w:pPr>
      <w:r>
        <w:rPr>
          <w:rFonts w:ascii="Arial" w:cs="Arial" w:eastAsia="Arial" w:hAnsi="Arial"/>
          <w:b w:val="false"/>
          <w:bCs w:val="false"/>
          <w:i w:val="false"/>
          <w:iCs w:val="false"/>
          <w:color w:val="000000"/>
          <w:sz w:val="21"/>
          <w:szCs w:val="21"/>
        </w:rPr>
        <w:t xml:space="preserve">연준은 2025년 12월 1일 공식적으로 양적긴축(QT)을 종료했습니다. 2022년 6월부터 약 2.4조 달러를 금융 시스템에서 회수한 후의 전환으로, 금의 전통적 강세 국면인 '완화적 통화정책' 사이클에 진입한 것입니다. 금은 역사적으로 연준이 긴축에서 완화로 전환할 때 가장 강하게 반응하며, 이번 사이클도 예외가 아닙니다. 2026년 상반기 추가 금리 인하가 예상되면서, 달러 약세와 실질금리 하락이 금에 순풍으로 작용할 전망입니다.</w:t>
      </w:r>
    </w:p>
    <w:p>
      <w:pPr>
        <w:pStyle w:val="Heading2"/>
        <w:spacing w:before="280" w:after="160"/>
      </w:pPr>
      <w:r>
        <w:rPr>
          <w:rFonts w:ascii="Arial" w:cs="Arial" w:eastAsia="Arial" w:hAnsi="Arial"/>
          <w:b/>
          <w:bCs/>
          <w:color w:val="B8860B"/>
          <w:sz w:val="28"/>
          <w:szCs w:val="28"/>
        </w:rPr>
        <w:t xml:space="preserve">1-2. 2026년 전망: $5,000 시대를 향해</w:t>
      </w:r>
    </w:p>
    <w:p>
      <w:pPr>
        <w:spacing w:before="60" w:after="100" w:line="340"/>
      </w:pPr>
      <w:r>
        <w:rPr>
          <w:rFonts w:ascii="Arial" w:cs="Arial" w:eastAsia="Arial" w:hAnsi="Arial"/>
          <w:b w:val="false"/>
          <w:bCs w:val="false"/>
          <w:i w:val="false"/>
          <w:iCs w:val="false"/>
          <w:color w:val="000000"/>
          <w:sz w:val="21"/>
          <w:szCs w:val="21"/>
        </w:rPr>
        <w:t xml:space="preserve">주요 기관 전망을 종합하면, 2026년 금 가격 컨센서스는 $4,500~$5,000/oz 구간에 형성되어 있습니다. J.P. Morgan은 4분기까지 $5,000 도달을 전망하며, UBS는 연평균 $5,000, Bank of America는 연평균 $4,538에 최고 $5,000을 제시합니다. 강세 시나리오에서는 $5,500~$6,000도 가능합니다.</w:t>
      </w:r>
    </w:p>
    <w:p>
      <w:pPr>
        <w:spacing w:before="60" w:after="100" w:line="340"/>
      </w:pPr>
      <w:r>
        <w:rPr>
          <w:rFonts w:ascii="Arial" w:cs="Arial" w:eastAsia="Arial" w:hAnsi="Arial"/>
          <w:b w:val="false"/>
          <w:bCs w:val="false"/>
          <w:i w:val="false"/>
          <w:iCs w:val="false"/>
          <w:color w:val="000000"/>
          <w:sz w:val="21"/>
          <w:szCs w:val="21"/>
        </w:rPr>
        <w:t xml:space="preserve">State Street Global Advisors는 '$4,000이 새로운 장기 지지선이 되었으며, 구조적 강세 사이클의 중간 단계'라고 분석했습니다. World Gold Council은 특히 두 가지 새로운 수요 동력을 주목했습니다. 첫째, 중국이 보험사에 자산의 1%까지 금 배분을 허용하는 파일럿 프로그램을 시작한 점입니다. 중국 보험사 총자산 규모를 감안하면, 1%만으로도 엄청난 금 수요가 발생합니다. 둘째, 중국이 신흥국 중앙은행의 금 보관자 역할을 자처하며, 런던과 뉴욕이 아닌 상하이에 금을 보관하는 새로운 수요를 창출하려는 점입니다. 이 두 가지가 현실화되면, 기관투자자와 중앙은행 양쪽에서 새로운 매수 물결이 형성됩니다. 약세 시나리오(확률 20%)에서도 $3,500~$4,000 구간에서 'Buy the Dip' 수요가 유입될 것으로 보여, 하방 지지력이 매우 강합니다.</w:t>
      </w:r>
    </w:p>
    <w:p>
      <w:pPr>
        <w:pStyle w:val="Heading2"/>
        <w:spacing w:before="280" w:after="160"/>
      </w:pPr>
      <w:r>
        <w:rPr>
          <w:rFonts w:ascii="Arial" w:cs="Arial" w:eastAsia="Arial" w:hAnsi="Arial"/>
          <w:b/>
          <w:bCs/>
          <w:color w:val="B8860B"/>
          <w:sz w:val="28"/>
          <w:szCs w:val="28"/>
        </w:rPr>
        <w:t xml:space="preserve">1-3. 대장주·ETF·투자 전략</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620"/>
        <w:gridCol w:w="1620"/>
        <w:gridCol w:w="2268"/>
        <w:gridCol w:w="2268"/>
      </w:tblGrid>
      <w:tr>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종목/ETF</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유형</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2025 YTD</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핵심 포인트</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파생주/관련주</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Newmont (NEM)</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금 채굴 #1</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+167%</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세계 최대 금광, 평균 실현가 $3,539/oz, 50년래 최고 수익</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Agnico Eagle, Kinross Gold</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Barrick Mining (B)</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금+구리</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+182%</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상장 이래 최고, 말리 분쟁 해결로 Loulo 광산 재개</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Gold Fields, AngloGold Ashanti</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GLD (SPDR Gold)</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금 현물 ETF</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+55%</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세계 최대 금 ETF, 유동성 최고</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IAU (저비용 대안)</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GDX (VanEck Gold Miners)</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금광주 ETF</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+166%</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56개 금광주, 2019년 이후 처음으로 금 현물 수익률 추월</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GDXJ (주니어 금광 ETF)</w:t>
            </w:r>
          </w:p>
        </w:tc>
      </w:tr>
    </w:tbl>
    <w:p>
      <w:pPr>
        <w:spacing w:before="60" w:after="100" w:line="340"/>
      </w:pPr>
      <w:r>
        <w:rPr>
          <w:rFonts w:ascii="Arial" w:cs="Arial" w:eastAsia="Arial" w:hAnsi="Arial"/>
          <w:b w:val="false"/>
          <w:bCs w:val="false"/>
          <w:i w:val="false"/>
          <w:iCs w:val="false"/>
          <w:color w:val="000000"/>
          <w:sz w:val="21"/>
          <w:szCs w:val="21"/>
        </w:rPr>
        <w:t xml:space="preserve">한국 관련주: 고려아연(비철금속 종합 리더), 풍산(귀금속 가공). 금 가격 상승은 직접적 채굴 수혜보다 '안전자산 선호 환경'에서의 포트폴리오 헤지 역할이 핵심입니다.</w:t>
      </w:r>
    </w:p>
    <w:p>
      <w:r>
        <w:br w:type="page"/>
      </w:r>
    </w:p>
    <w:p>
      <w:pPr>
        <w:pStyle w:val="Heading1"/>
        <w:spacing w:before="360" w:after="200"/>
      </w:pPr>
      <w:r>
        <w:rPr>
          <w:rFonts w:ascii="Arial" w:cs="Arial" w:eastAsia="Arial" w:hAnsi="Arial"/>
          <w:b/>
          <w:bCs/>
          <w:color w:val="1B365D"/>
          <w:sz w:val="36"/>
          <w:szCs w:val="36"/>
        </w:rPr>
        <w:t xml:space="preserve">Chapter 2. 은(Silver) — AI 시대의 '넥스트 제너레이션 메탈'</w:t>
      </w:r>
    </w:p>
    <w:p>
      <w:pPr>
        <w:pBdr>
          <w:bottom w:val="single" w:color="708090" w:sz="6" w:space="1"/>
        </w:pBdr>
        <w:spacing w:before="200" w:after="200"/>
      </w:pPr>
      <w:r>
        <w:rPr>
          <w:rFonts w:ascii="Arial" w:cs="Arial" w:eastAsia="Arial" w:hAnsi="Arial"/>
          <w:sz w:val="2"/>
          <w:szCs w:val="2"/>
        </w:rPr>
        <w:t xml:space="preserve"/>
      </w:r>
    </w:p>
    <w:p>
      <w:pPr>
        <w:pStyle w:val="Heading2"/>
        <w:spacing w:before="280" w:after="160"/>
      </w:pPr>
      <w:r>
        <w:rPr>
          <w:rFonts w:ascii="Arial" w:cs="Arial" w:eastAsia="Arial" w:hAnsi="Arial"/>
          <w:b/>
          <w:bCs/>
          <w:color w:val="708090"/>
          <w:sz w:val="28"/>
          <w:szCs w:val="28"/>
        </w:rPr>
        <w:t xml:space="preserve">2-1. 2025년 결산: 147% 폭등, 은의 정체성 전환</w:t>
      </w:r>
    </w:p>
    <w:p>
      <w:pPr>
        <w:spacing w:before="60" w:after="100" w:line="340"/>
      </w:pPr>
      <w:r>
        <w:rPr>
          <w:rFonts w:ascii="Arial" w:cs="Arial" w:eastAsia="Arial" w:hAnsi="Arial"/>
          <w:b w:val="false"/>
          <w:bCs w:val="false"/>
          <w:i w:val="false"/>
          <w:iCs w:val="false"/>
          <w:color w:val="000000"/>
          <w:sz w:val="21"/>
          <w:szCs w:val="21"/>
        </w:rPr>
        <w:t xml:space="preserve">2025년 은 시장은 '대재평가(Great Revaluation)'라 불릴 만큼 극적이었습니다. 연초 $28.92에서 출발한 은 가격은 연말 $72를 넘어서며 147% 상승했습니다. 2026년 초에는 글로벌 기준 $94/oz까지 치솟았습니다. 특히 주목할 점은, 이 상승의 99%가 하반기 6개월 동안 집중되었다는 것입니다.</w:t>
      </w:r>
    </w:p>
    <w:p>
      <w:pPr>
        <w:spacing w:before="60" w:after="100" w:line="340"/>
      </w:pPr>
      <w:r>
        <w:rPr>
          <w:rFonts w:ascii="Arial" w:cs="Arial" w:eastAsia="Arial" w:hAnsi="Arial"/>
          <w:b w:val="false"/>
          <w:bCs w:val="false"/>
          <w:i w:val="false"/>
          <w:iCs w:val="false"/>
          <w:color w:val="000000"/>
          <w:sz w:val="21"/>
          <w:szCs w:val="21"/>
        </w:rPr>
        <w:t xml:space="preserve">Silver Institute가 Oxford Economics에 의뢰해 발간한 'Silver, The Next Generation Metal' 보고서는 은을 '차세대 금속'으로 공식 명명했습니다. 이 보고서의 핵심 메시지는 이렇습니다: 은은 더 이상 '금의 동생'이 아니라, 태양광·EV·AI 데이터센터가 구조적으로 끌어올리는 독자적 산업금속이다. 2024년 산업 수요는 사상 최대인 6.8억 oz를 기록했고, 이 중 태양광만 29%를 차지합니다 — 불과 2014년에는 11%였습니다.</w:t>
      </w:r>
    </w:p>
    <w:p>
      <w:pPr>
        <w:spacing w:before="60" w:after="100" w:line="340"/>
      </w:pPr>
      <w:r>
        <w:rPr>
          <w:rFonts w:ascii="Arial" w:cs="Arial" w:eastAsia="Arial" w:hAnsi="Arial"/>
          <w:b w:val="false"/>
          <w:bCs w:val="false"/>
          <w:i w:val="false"/>
          <w:iCs w:val="false"/>
          <w:color w:val="000000"/>
          <w:sz w:val="21"/>
          <w:szCs w:val="21"/>
        </w:rPr>
        <w:t xml:space="preserve">Saxo Bank은 '은의 2025년 폭등은 현대 귀금속 역사상 가장 극적인 재평가 중 하나로 기억될 것'이라고 평가했습니다. '은은 오랫동안 통화금속과 산업금속 사이에서 정체성 혼란을 격었지만, 올해 그 혼란을 해소했다 — 양쪽 모두가 됨으로써'라고 분석했습니다.</w:t>
      </w:r>
    </w:p>
    <w:p>
      <w:pPr>
        <w:spacing w:before="200" w:after="120"/>
      </w:pPr>
      <w:r>
        <w:rPr>
          <w:rFonts w:ascii="Arial" w:cs="Arial" w:eastAsia="Arial" w:hAnsi="Arial"/>
          <w:b/>
          <w:bCs/>
          <w:color w:val="1B365D"/>
          <w:sz w:val="24"/>
          <w:szCs w:val="24"/>
        </w:rPr>
        <w:t xml:space="preserve">모멘텀 1: 5년 연속 공급 적자 — 누적 8억 oz</w:t>
      </w:r>
    </w:p>
    <w:p>
      <w:pPr>
        <w:spacing w:before="60" w:after="100" w:line="340"/>
      </w:pPr>
      <w:r>
        <w:rPr>
          <w:rFonts w:ascii="Arial" w:cs="Arial" w:eastAsia="Arial" w:hAnsi="Arial"/>
          <w:b w:val="false"/>
          <w:bCs w:val="false"/>
          <w:i w:val="false"/>
          <w:iCs w:val="false"/>
          <w:color w:val="000000"/>
          <w:sz w:val="21"/>
          <w:szCs w:val="21"/>
        </w:rPr>
        <w:t xml:space="preserve">글로벌 은 시장은 2021년부터 5년 연속 공급 적자 상태입니다. 2025년 적자는 약 1.2~2.3억 oz로 추정되며, 5년간 누적 적자는 약 8억 oz에 달합니다 — 이는 거의 1년치 광산 생산량에 해당합니다. 핵심은 공급의 비탄력성입니다. 은의 70% 이상이 금·구리·아연 채굴의 부산물로 생산되기 때문에, 은 가격이 올라도 은을 위해 새 광산을 여는 것이 경제적으로 맞지 않습니다. 이 구조적 문제가 가격 상승을 지속시키는 핵심 엔진입니다. HSBC는 2026년도 적자가 지속될 것으로 전망합니다.</w:t>
      </w:r>
    </w:p>
    <w:p>
      <w:pPr>
        <w:spacing w:before="200" w:after="120"/>
      </w:pPr>
      <w:r>
        <w:rPr>
          <w:rFonts w:ascii="Arial" w:cs="Arial" w:eastAsia="Arial" w:hAnsi="Arial"/>
          <w:b/>
          <w:bCs/>
          <w:color w:val="1B365D"/>
          <w:sz w:val="24"/>
          <w:szCs w:val="24"/>
        </w:rPr>
        <w:t xml:space="preserve">모멘텀 2: 중국의 은 수출 라이선스 제도 전환 (2026.1.1)</w:t>
      </w:r>
    </w:p>
    <w:p>
      <w:pPr>
        <w:spacing w:before="60" w:after="100" w:line="340"/>
      </w:pPr>
      <w:r>
        <w:rPr>
          <w:rFonts w:ascii="Arial" w:cs="Arial" w:eastAsia="Arial" w:hAnsi="Arial"/>
          <w:b w:val="false"/>
          <w:bCs w:val="false"/>
          <w:i w:val="false"/>
          <w:iCs w:val="false"/>
          <w:color w:val="000000"/>
          <w:sz w:val="21"/>
          <w:szCs w:val="21"/>
        </w:rPr>
        <w:t xml:space="preserve">전 세계 은 정제 능력의 60~70%를 장악한 중국이 2026년 1월 1일부로 기존 쿼터제를 폐지하고 제한적 라이선스 제도로 전환했습니다. 이는 글로벌 현물 공급을 더욱 압박하는 요인입니다. 같은 시기, 미국 정부는 은을 '핵심 광물(Critical Mineral)'로 공식 지정했습니다. 은이 단순 귀금속에서 '국가 안보 자산'으로 격상된 것입니다.</w:t>
      </w:r>
    </w:p>
    <w:p>
      <w:pPr>
        <w:spacing w:before="200" w:after="120"/>
      </w:pPr>
      <w:r>
        <w:rPr>
          <w:rFonts w:ascii="Arial" w:cs="Arial" w:eastAsia="Arial" w:hAnsi="Arial"/>
          <w:b/>
          <w:bCs/>
          <w:color w:val="1B365D"/>
          <w:sz w:val="24"/>
          <w:szCs w:val="24"/>
        </w:rPr>
        <w:t xml:space="preserve">모멘텀 3: 인도의 은 수입 폭증과 골드-실버 비율 급락</w:t>
      </w:r>
    </w:p>
    <w:p>
      <w:pPr>
        <w:spacing w:before="60" w:after="100" w:line="340"/>
      </w:pPr>
      <w:r>
        <w:rPr>
          <w:rFonts w:ascii="Arial" w:cs="Arial" w:eastAsia="Arial" w:hAnsi="Arial"/>
          <w:b w:val="false"/>
          <w:bCs w:val="false"/>
          <w:i w:val="false"/>
          <w:iCs w:val="false"/>
          <w:color w:val="000000"/>
          <w:sz w:val="21"/>
          <w:szCs w:val="21"/>
        </w:rPr>
        <w:t xml:space="preserve">인도는 2025년 세계 최대 은 수입국이 되었습니다. 수입액은 약 92억 달러로 전년 대비 44% 증가했습니다. 높은 금 가격에 따른 대체 수요, 디왔리 시즌 구매, 태양광·전자 제조업 확대가 복합적으로 작용한 결과입니다. 루피 기준 은 가격이 연초 80,000~85,000/kg에서 2026년 1월 243,000/kg까지 약 3배 상승했음에도, 구매 수요가 줄지 않았다는 점이 인상적입니다.</w:t>
      </w:r>
    </w:p>
    <w:p>
      <w:pPr>
        <w:spacing w:before="60" w:after="100" w:line="340"/>
      </w:pPr>
      <w:r>
        <w:rPr>
          <w:rFonts w:ascii="Arial" w:cs="Arial" w:eastAsia="Arial" w:hAnsi="Arial"/>
          <w:b w:val="false"/>
          <w:bCs w:val="false"/>
          <w:i w:val="false"/>
          <w:iCs w:val="false"/>
          <w:color w:val="000000"/>
          <w:sz w:val="21"/>
          <w:szCs w:val="21"/>
        </w:rPr>
        <w:t xml:space="preserve">금-은 비율(Gold/Silver Ratio)은 2024년 초 약 90에서 2026년 1월 약 50으로 급락했습니다. 이는 은의 상대적 저평가가 빠르게 해소되고 있다는 신호입니다. U.S. News는 '은 가격이 1월 기준으로 지난 1년간 약 180% 상승하여, 해당 기간 가장 높은 수익률을 기록한 자산 중 하나'라고 보도했습니다.</w:t>
      </w:r>
    </w:p>
    <w:p>
      <w:pPr>
        <w:pStyle w:val="Heading2"/>
        <w:spacing w:before="280" w:after="160"/>
      </w:pPr>
      <w:r>
        <w:rPr>
          <w:rFonts w:ascii="Arial" w:cs="Arial" w:eastAsia="Arial" w:hAnsi="Arial"/>
          <w:b/>
          <w:bCs/>
          <w:color w:val="708090"/>
          <w:sz w:val="28"/>
          <w:szCs w:val="28"/>
        </w:rPr>
        <w:t xml:space="preserve">2-2. 은과 AI의 연결고리: IT 전력의 53배 성장</w:t>
      </w:r>
    </w:p>
    <w:p>
      <w:pPr>
        <w:spacing w:before="60" w:after="100" w:line="340"/>
      </w:pPr>
      <w:r>
        <w:rPr>
          <w:rFonts w:ascii="Arial" w:cs="Arial" w:eastAsia="Arial" w:hAnsi="Arial"/>
          <w:b w:val="false"/>
          <w:bCs w:val="false"/>
          <w:i w:val="false"/>
          <w:iCs w:val="false"/>
          <w:color w:val="000000"/>
          <w:sz w:val="21"/>
          <w:szCs w:val="21"/>
        </w:rPr>
        <w:t xml:space="preserve">Silver Institute에 따르면, 글로벌 IT 전력 용량은 2000년 0.93GW에서 2025년 약 50GW로 53배(5,252%) 증가했습니다. 은은 모든 금속 중 상온에서 가장 높은 전기전도도를 가지고 있어, 반도체 접점, 서버 커넥터, 전력 전자 부품에 필수적입니다. Silver Institute는 'IT 전력 수요의 5,252% 증가는 더 많은 컴퓨팅 하드웨어를 의미하고, 이는 곧 더 많은 은 수요'라는 논리적 연결을 명확히 했습니다.</w:t>
      </w:r>
    </w:p>
    <w:p>
      <w:pPr>
        <w:spacing w:before="60" w:after="100" w:line="340"/>
      </w:pPr>
      <w:r>
        <w:rPr>
          <w:rFonts w:ascii="Arial" w:cs="Arial" w:eastAsia="Arial" w:hAnsi="Arial"/>
          <w:b w:val="false"/>
          <w:bCs w:val="false"/>
          <w:i w:val="false"/>
          <w:iCs w:val="false"/>
          <w:color w:val="000000"/>
          <w:sz w:val="21"/>
          <w:szCs w:val="21"/>
        </w:rPr>
        <w:t xml:space="preserve">태양광의 은 소비도 무시할 수 없습니다. 호주 UNSW(뉴사우스웨일스 대학) 연구진은 '2027년까지 태양광 제조가 전 세계 연간 은 공급량의 20% 이상을 소비할 것'이며, '2050년에는 현재 글로벌 은 매장량의 85~98%를 태양광만으로 소진할 것'이라고 경고했습니다. EV도 마찬가지입니다 — 배터리 전기차는 내연기관 대비 67~79% 더 많은 은을 사용하며(대당 25~50g), Silver Institute는 2027년에 EV가 자동차 분야 은 수요의 최대 소비처(59%)가 될 것으로 전망합니다.</w:t>
      </w:r>
    </w:p>
    <w:p>
      <w:pPr>
        <w:pStyle w:val="Heading2"/>
        <w:spacing w:before="280" w:after="160"/>
      </w:pPr>
      <w:r>
        <w:rPr>
          <w:rFonts w:ascii="Arial" w:cs="Arial" w:eastAsia="Arial" w:hAnsi="Arial"/>
          <w:b/>
          <w:bCs/>
          <w:color w:val="708090"/>
          <w:sz w:val="28"/>
          <w:szCs w:val="28"/>
        </w:rPr>
        <w:t xml:space="preserve">2-3. 대장주·ETF·투자 전략</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620"/>
        <w:gridCol w:w="1620"/>
        <w:gridCol w:w="2268"/>
        <w:gridCol w:w="2268"/>
      </w:tblGrid>
      <w:tr>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종목/ETF</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유형</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2025 YTD</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핵심 포인트</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파생주/관련주</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Wheaton Precious (WPM)</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스트리밍/로열티</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급등</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고정비 계약으로 은 가격 상승분 100% 수혜, SIL 최대 편입(21.8%)</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Franco-Nevada, Royal Gold</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Pan American Silver (PAAS)</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은 채굴 대형주</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급등</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MAG Silver 인수로 포트폴리오 강화</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First Majestic (AG), Coeur Mining</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SLV (iShares Silver Trust)</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은 현물 ETF</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+148%</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자산 $334억, BlackRock 관리, 은 현물 직접 추종</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SIVR (저비용 대안)</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SLVP (iShares Silver &amp; Metals Miners)</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은광주 ETF</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+212%</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2025년 전체 비레버리지 ETF 수익률 1위</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SIL, SILJ (주니어은광 ETF)</w:t>
            </w:r>
          </w:p>
        </w:tc>
      </w:tr>
    </w:tbl>
    <w:p>
      <w:pPr>
        <w:spacing w:before="60" w:after="100" w:line="340"/>
      </w:pPr>
      <w:r>
        <w:rPr>
          <w:rFonts w:ascii="Arial" w:cs="Arial" w:eastAsia="Arial" w:hAnsi="Arial"/>
          <w:b w:val="false"/>
          <w:bCs w:val="false"/>
          <w:i w:val="false"/>
          <w:iCs w:val="false"/>
          <w:color w:val="000000"/>
          <w:sz w:val="21"/>
          <w:szCs w:val="21"/>
        </w:rPr>
        <w:t xml:space="preserve">한국 관련주: 고려아연(은 부산물 생산), 이구산업(비철금속 가공). 은은 한국에 직접 채굴 기업이 없으므로 ETF를 통한 접근이 현실적입니다.</w:t>
      </w:r>
    </w:p>
    <w:p>
      <w:r>
        <w:br w:type="page"/>
      </w:r>
    </w:p>
    <w:p>
      <w:pPr>
        <w:pStyle w:val="Heading1"/>
        <w:spacing w:before="360" w:after="200"/>
      </w:pPr>
      <w:r>
        <w:rPr>
          <w:rFonts w:ascii="Arial" w:cs="Arial" w:eastAsia="Arial" w:hAnsi="Arial"/>
          <w:b/>
          <w:bCs/>
          <w:color w:val="1B365D"/>
          <w:sz w:val="36"/>
          <w:szCs w:val="36"/>
        </w:rPr>
        <w:t xml:space="preserve">Chapter 3. 구리(Copper) — AI 시대의 석유</w:t>
      </w:r>
    </w:p>
    <w:p>
      <w:pPr>
        <w:pBdr>
          <w:bottom w:val="single" w:color="B87333" w:sz="6" w:space="1"/>
        </w:pBdr>
        <w:spacing w:before="200" w:after="200"/>
      </w:pPr>
      <w:r>
        <w:rPr>
          <w:rFonts w:ascii="Arial" w:cs="Arial" w:eastAsia="Arial" w:hAnsi="Arial"/>
          <w:sz w:val="2"/>
          <w:szCs w:val="2"/>
        </w:rPr>
        <w:t xml:space="preserve"/>
      </w:r>
    </w:p>
    <w:p>
      <w:pPr>
        <w:pStyle w:val="Heading2"/>
        <w:spacing w:before="280" w:after="160"/>
      </w:pPr>
      <w:r>
        <w:rPr>
          <w:rFonts w:ascii="Arial" w:cs="Arial" w:eastAsia="Arial" w:hAnsi="Arial"/>
          <w:b/>
          <w:bCs/>
          <w:color w:val="B87333"/>
          <w:sz w:val="28"/>
          <w:szCs w:val="28"/>
        </w:rPr>
        <w:t xml:space="preserve">3-1. '구리가 곧 AI다': 데이터센터의 혈관</w:t>
      </w:r>
    </w:p>
    <w:p>
      <w:pPr>
        <w:spacing w:before="60" w:after="100" w:line="340"/>
      </w:pPr>
      <w:r>
        <w:rPr>
          <w:rFonts w:ascii="Arial" w:cs="Arial" w:eastAsia="Arial" w:hAnsi="Arial"/>
          <w:b w:val="false"/>
          <w:bCs w:val="false"/>
          <w:i w:val="false"/>
          <w:iCs w:val="false"/>
          <w:color w:val="000000"/>
          <w:sz w:val="21"/>
          <w:szCs w:val="21"/>
        </w:rPr>
        <w:t xml:space="preserve">36Kr의 베스트 분석 기사 제목이 그것을 완벽하게 요약합니다: 'Why Copper Is the Oil of the AI Era'. 이 비유는 이제 월가의 공식 컨센서스입니다. Schneider Electric에 따르면, 1GW급 데이터센터 한 곳을 짓는 데 약 65,800톤의 구리가 필요합니다. 2023년 글로벌 데이터센터 설치 용량 7.1GW에 투입된 구리는 46.7만 톤으로, 전체 구리 소비의 1.7%였습니다. 이것이 2026년에는 71만 톤으로 증가할 전망이고, 전력망 시설까지 포함하면 62.4만 톤이 추가됩니다. 합산 134만 톤 — 이것이 AI가 먹어치우는 구리의 양입니다.</w:t>
      </w:r>
    </w:p>
    <w:p>
      <w:pPr>
        <w:spacing w:before="60" w:after="100" w:line="340"/>
      </w:pPr>
      <w:r>
        <w:rPr>
          <w:rFonts w:ascii="Arial" w:cs="Arial" w:eastAsia="Arial" w:hAnsi="Arial"/>
          <w:b w:val="false"/>
          <w:bCs w:val="false"/>
          <w:i w:val="false"/>
          <w:iCs w:val="false"/>
          <w:color w:val="000000"/>
          <w:sz w:val="21"/>
          <w:szCs w:val="21"/>
        </w:rPr>
        <w:t xml:space="preserve">NVIDIA의 GB200 슈퍼칩은 캐비닛 내부 케이블 총 길이가 약 2마일(3.2km)에 달하며, 전부 구리 케이블입니다. 2024년 H100 수준의 출하량(35~40만 대)으로 가정하면, GB200만으로 약 3만 톤의 구리가 필요합니다. 구리는 데이터센터 자본 비용의 약 6%를 차지하지만, 그 역할은 대체 불가능합니다. 전기를 전달하고, 열을 배출하고, 신호를 연결하는 모든 과정에서 구리가 쓰입니다. Motley Fool은 '구리와 은은 AI 플레이'라고 직접 명명했습니다.</w:t>
      </w:r>
    </w:p>
    <w:p>
      <w:pPr>
        <w:spacing w:before="200" w:after="120"/>
      </w:pPr>
      <w:r>
        <w:rPr>
          <w:rFonts w:ascii="Arial" w:cs="Arial" w:eastAsia="Arial" w:hAnsi="Arial"/>
          <w:b/>
          <w:bCs/>
          <w:color w:val="1B365D"/>
          <w:sz w:val="24"/>
          <w:szCs w:val="24"/>
        </w:rPr>
        <w:t xml:space="preserve">모멘텀 1: 사상 최고가 경신</w:t>
      </w:r>
    </w:p>
    <w:p>
      <w:pPr>
        <w:spacing w:before="60" w:after="100" w:line="340"/>
      </w:pPr>
      <w:r>
        <w:rPr>
          <w:rFonts w:ascii="Arial" w:cs="Arial" w:eastAsia="Arial" w:hAnsi="Arial"/>
          <w:b w:val="false"/>
          <w:bCs w:val="false"/>
          <w:i w:val="false"/>
          <w:iCs w:val="false"/>
          <w:color w:val="000000"/>
          <w:sz w:val="21"/>
          <w:szCs w:val="21"/>
        </w:rPr>
        <w:t xml:space="preserve">구리는 2025년 LME에서 $11,705/톤을 기록하며 사상 최고치를 경신했습니다. 연초 대비 32~43% 상승입니다. JPMorgan은 2026년 2분기 $12,500/톤, 연평균 $12,075을 전망하고, UBS는 더 낙관적으로 연말 $13,000을 제시합니다.</w:t>
      </w:r>
    </w:p>
    <w:p>
      <w:pPr>
        <w:spacing w:before="200" w:after="120"/>
      </w:pPr>
      <w:r>
        <w:rPr>
          <w:rFonts w:ascii="Arial" w:cs="Arial" w:eastAsia="Arial" w:hAnsi="Arial"/>
          <w:b/>
          <w:bCs/>
          <w:color w:val="1B365D"/>
          <w:sz w:val="24"/>
          <w:szCs w:val="24"/>
        </w:rPr>
        <w:t xml:space="preserve">모멘텀 2: 미국 구리 관세 50%와 Grasberg 광산 사고</w:t>
      </w:r>
    </w:p>
    <w:p>
      <w:pPr>
        <w:spacing w:before="60" w:after="100" w:line="340"/>
      </w:pPr>
      <w:r>
        <w:rPr>
          <w:rFonts w:ascii="Arial" w:cs="Arial" w:eastAsia="Arial" w:hAnsi="Arial"/>
          <w:b w:val="false"/>
          <w:bCs w:val="false"/>
          <w:i w:val="false"/>
          <w:iCs w:val="false"/>
          <w:color w:val="000000"/>
          <w:sz w:val="21"/>
          <w:szCs w:val="21"/>
        </w:rPr>
        <w:t xml:space="preserve">2025년 8월 미국은 구리 수입에 50% 관세를 부과했습니다. 국내 생산 촉진이 목적이나, 단기적으로 공급 교란과 가격 급등락을 야기했습니다. 한편 세계 최대 구리광산 중 하나인 인도네시아 Grasberg에서 사고가 발생하여, Freeport-McMoRan은 2026년 인도네시아 생산량이 약 35% 감소할 수 있다고 발표했습니다. J.P. Morgan은 이를 반영해 2026년 전 세계 정제구리 적자를 33만 톤으로 전망합니다.</w:t>
      </w:r>
    </w:p>
    <w:p>
      <w:pPr>
        <w:spacing w:before="200" w:after="120"/>
      </w:pPr>
      <w:r>
        <w:rPr>
          <w:rFonts w:ascii="Arial" w:cs="Arial" w:eastAsia="Arial" w:hAnsi="Arial"/>
          <w:b/>
          <w:bCs/>
          <w:color w:val="1B365D"/>
          <w:sz w:val="24"/>
          <w:szCs w:val="24"/>
        </w:rPr>
        <w:t xml:space="preserve">모멘텀 3: 구조적 공급 부족 — 2035년까지 600만 톤 적자</w:t>
      </w:r>
    </w:p>
    <w:p>
      <w:pPr>
        <w:spacing w:before="60" w:after="100" w:line="340"/>
      </w:pPr>
      <w:r>
        <w:rPr>
          <w:rFonts w:ascii="Arial" w:cs="Arial" w:eastAsia="Arial" w:hAnsi="Arial"/>
          <w:b w:val="false"/>
          <w:bCs w:val="false"/>
          <w:i w:val="false"/>
          <w:iCs w:val="false"/>
          <w:color w:val="000000"/>
          <w:sz w:val="21"/>
          <w:szCs w:val="21"/>
        </w:rPr>
        <w:t xml:space="preserve">장기 전망은 더 극적입니다. Bloomberg NEF는 2035년까지 글로벌 구리 공급 적자를 600만 톤으로 전망합니다. EV 한 대에는 80~100kg의 구리가 필요한 반면, 내연기관차는 20~30kg에 불과합니다. 미국 내 신규 구리 광산 개발에 평균 29년이 걸리며, 허가 지연이 공급 병목의 핵심입니다. Copper Development Association은 '미국에 4,800만 톤의 확인된 구리 자원이 있지만, 문제는 속도'라고 경고합니다.</w:t>
      </w:r>
    </w:p>
    <w:p>
      <w:pPr>
        <w:pStyle w:val="Heading2"/>
        <w:spacing w:before="280" w:after="160"/>
      </w:pPr>
      <w:r>
        <w:rPr>
          <w:rFonts w:ascii="Arial" w:cs="Arial" w:eastAsia="Arial" w:hAnsi="Arial"/>
          <w:b/>
          <w:bCs/>
          <w:color w:val="B87333"/>
          <w:sz w:val="28"/>
          <w:szCs w:val="28"/>
        </w:rPr>
        <w:t xml:space="preserve">3-2. 대장주·ETF·투자 전략</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620"/>
        <w:gridCol w:w="1620"/>
        <w:gridCol w:w="2268"/>
        <w:gridCol w:w="2268"/>
      </w:tblGrid>
      <w:tr>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종목/ETF</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유형</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2025 YTD</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핵심 포인트</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파생주/관련주</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Freeport-McMoRan (FCX)</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구리 채굴 #1</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+26.8%</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세계 최대 전업 구리 생산자, 미국 관세 수혜, Grasberg 변수</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Southern Copper, Lundin Mining</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COPX (Global X Copper Miners)</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구리광주 ETF</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+80%</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40개+ 구리주 분산, 0.65% 보수</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COPJ (주니어 구리, 2025 Top 16 ETF)</w:t>
            </w:r>
          </w:p>
        </w:tc>
      </w:tr>
    </w:tbl>
    <w:p>
      <w:pPr>
        <w:spacing w:before="60" w:after="100" w:line="340"/>
      </w:pPr>
      <w:r>
        <w:rPr>
          <w:rFonts w:ascii="Arial" w:cs="Arial" w:eastAsia="Arial" w:hAnsi="Arial"/>
          <w:b w:val="false"/>
          <w:bCs w:val="false"/>
          <w:i w:val="false"/>
          <w:iCs w:val="false"/>
          <w:color w:val="000000"/>
          <w:sz w:val="21"/>
          <w:szCs w:val="21"/>
        </w:rPr>
        <w:t xml:space="preserve">한국 관련주: LS전선(전력 케이블, 데이터센터 내부 배선), 풍산(구리 가공/탄약), 고려아연(비철금속 종합), 대한전선(초고압 전선). 구리 가격 상승은 전선·케이블 업종에 직접적 수혜를 줍니다.</w:t>
      </w:r>
    </w:p>
    <w:p>
      <w:r>
        <w:br w:type="page"/>
      </w:r>
    </w:p>
    <w:p>
      <w:pPr>
        <w:pStyle w:val="Heading1"/>
        <w:spacing w:before="360" w:after="200"/>
      </w:pPr>
      <w:r>
        <w:rPr>
          <w:rFonts w:ascii="Arial" w:cs="Arial" w:eastAsia="Arial" w:hAnsi="Arial"/>
          <w:b/>
          <w:bCs/>
          <w:color w:val="1B365D"/>
          <w:sz w:val="36"/>
          <w:szCs w:val="36"/>
        </w:rPr>
        <w:t xml:space="preserve">Chapter 4. 알루미늄(Aluminum) — 데이터센터의 뼈대</w:t>
      </w:r>
    </w:p>
    <w:p>
      <w:pPr>
        <w:pBdr>
          <w:bottom w:val="single" w:color="848482" w:sz="6" w:space="1"/>
        </w:pBdr>
        <w:spacing w:before="200" w:after="200"/>
      </w:pPr>
      <w:r>
        <w:rPr>
          <w:rFonts w:ascii="Arial" w:cs="Arial" w:eastAsia="Arial" w:hAnsi="Arial"/>
          <w:sz w:val="2"/>
          <w:szCs w:val="2"/>
        </w:rPr>
        <w:t xml:space="preserve"/>
      </w:r>
    </w:p>
    <w:p>
      <w:pPr>
        <w:pStyle w:val="Heading2"/>
        <w:spacing w:before="280" w:after="160"/>
      </w:pPr>
      <w:r>
        <w:rPr>
          <w:rFonts w:ascii="Arial" w:cs="Arial" w:eastAsia="Arial" w:hAnsi="Arial"/>
          <w:b/>
          <w:bCs/>
          <w:color w:val="848482"/>
          <w:sz w:val="28"/>
          <w:szCs w:val="28"/>
        </w:rPr>
        <w:t xml:space="preserve">4-1. 구리의 '전략적 대안'으로 부상</w:t>
      </w:r>
    </w:p>
    <w:p>
      <w:pPr>
        <w:spacing w:before="60" w:after="100" w:line="340"/>
      </w:pPr>
      <w:r>
        <w:rPr>
          <w:rFonts w:ascii="Arial" w:cs="Arial" w:eastAsia="Arial" w:hAnsi="Arial"/>
          <w:b w:val="false"/>
          <w:bCs w:val="false"/>
          <w:i w:val="false"/>
          <w:iCs w:val="false"/>
          <w:color w:val="000000"/>
          <w:sz w:val="21"/>
          <w:szCs w:val="21"/>
        </w:rPr>
        <w:t xml:space="preserve">2025년은 알루미늄이 '단순 범용금속'에서 '전략적 대안금속'으로 격상된 해였습니다. Three D Metals의 2026년 전망 보고서가 이를 명확히 합니다: '구리 가격이 $12,000/mt에 육박하면서, 엔지니어들이 알루미늄을 단순한 저렴한 대체재가 아닌 전략적 대안으로 재평가하기 시작했다. 특히 대규모 버스웨이 시스템에서 알루미늄의 가격 대비 전도율 비율은 무시할 수 없는 수준이다.' 즉, 구리가 비싸질수록 알루미늄의 가치가 올라가는 '시소 효과'가 작동하는 것입니다.</w:t>
      </w:r>
    </w:p>
    <w:p>
      <w:pPr>
        <w:spacing w:before="60" w:after="100" w:line="340"/>
      </w:pPr>
      <w:r>
        <w:rPr>
          <w:rFonts w:ascii="Arial" w:cs="Arial" w:eastAsia="Arial" w:hAnsi="Arial"/>
          <w:b w:val="false"/>
          <w:bCs w:val="false"/>
          <w:i w:val="false"/>
          <w:iCs w:val="false"/>
          <w:color w:val="000000"/>
          <w:sz w:val="21"/>
          <w:szCs w:val="21"/>
        </w:rPr>
        <w:t xml:space="preserve">Fastmarkets는 '알루미늄이 2025년 기초금속 중 구리, 주석에 이어 세 번째로 강한 퍼포먼스를 보였다'고 분석하며, '공급 교란 우려가 점점 알루미늄의 가격 내러티브를 지배하고 있다'고 평가했습니다. LME 기준 가격은 $3,000/톤에 근접하고 있습니다.</w:t>
      </w:r>
    </w:p>
    <w:p>
      <w:pPr>
        <w:spacing w:before="200" w:after="120"/>
      </w:pPr>
      <w:r>
        <w:rPr>
          <w:rFonts w:ascii="Arial" w:cs="Arial" w:eastAsia="Arial" w:hAnsi="Arial"/>
          <w:b/>
          <w:bCs/>
          <w:color w:val="1B365D"/>
          <w:sz w:val="24"/>
          <w:szCs w:val="24"/>
        </w:rPr>
        <w:t xml:space="preserve">모멘텀 1: 중국 생산량 상한 4,500만 톤 고착화</w:t>
      </w:r>
    </w:p>
    <w:p>
      <w:pPr>
        <w:spacing w:before="60" w:after="100" w:line="340"/>
      </w:pPr>
      <w:r>
        <w:rPr>
          <w:rFonts w:ascii="Arial" w:cs="Arial" w:eastAsia="Arial" w:hAnsi="Arial"/>
          <w:b w:val="false"/>
          <w:bCs w:val="false"/>
          <w:i w:val="false"/>
          <w:iCs w:val="false"/>
          <w:color w:val="000000"/>
          <w:sz w:val="21"/>
          <w:szCs w:val="21"/>
        </w:rPr>
        <w:t xml:space="preserve">중국은 연간 알루미늄 1차 생산량에 4,500만 톤의 자체 상한을 설정하고 있으며, 현재 이 한도에 근접한 상태입니다. 중국이 전 세계 알루미늄의 약 60%를 생산하는 만큼, 이 상한은 글로벌 시장에 직접적 영향을 미칩니다. World Bank은 '이 정책이 추가 생산 확대를 구조적으로 차단하여, 수요 증가에도 의미 있는 공급 확대가 불가능한 상황을 만들고 있다'고 분석합니다.</w:t>
      </w:r>
    </w:p>
    <w:p>
      <w:pPr>
        <w:spacing w:before="200" w:after="120"/>
      </w:pPr>
      <w:r>
        <w:rPr>
          <w:rFonts w:ascii="Arial" w:cs="Arial" w:eastAsia="Arial" w:hAnsi="Arial"/>
          <w:b/>
          <w:bCs/>
          <w:color w:val="1B365D"/>
          <w:sz w:val="24"/>
          <w:szCs w:val="24"/>
        </w:rPr>
        <w:t xml:space="preserve">모멘텀 2: Bank of America — 2026년 공급 적자 29.2만 톤</w:t>
      </w:r>
    </w:p>
    <w:p>
      <w:pPr>
        <w:spacing w:before="60" w:after="100" w:line="340"/>
      </w:pPr>
      <w:r>
        <w:rPr>
          <w:rFonts w:ascii="Arial" w:cs="Arial" w:eastAsia="Arial" w:hAnsi="Arial"/>
          <w:b w:val="false"/>
          <w:bCs w:val="false"/>
          <w:i w:val="false"/>
          <w:iCs w:val="false"/>
          <w:color w:val="000000"/>
          <w:sz w:val="21"/>
          <w:szCs w:val="21"/>
        </w:rPr>
        <w:t xml:space="preserve">Bank of America는 2025년 글로벌 알루미늄 시장이 소폭 공급 과잉이지만, 2026년에는 상황이 완전히 역전되어 약 29.2만 톤의 공급 부족이 발생할 것으로 전망합니다. 이에 따라 알루미늄 가격은 2026년 4분기 $3,000/톤까지 상승할 것으로 예상됩니다. 수요 측에서는 NEV(신에너지차) 생산 증가, 태양광 설비 확대, 전력망 투자 확대가 복합적으로 작용합니다.</w:t>
      </w:r>
    </w:p>
    <w:p>
      <w:pPr>
        <w:spacing w:before="200" w:after="120"/>
      </w:pPr>
      <w:r>
        <w:rPr>
          <w:rFonts w:ascii="Arial" w:cs="Arial" w:eastAsia="Arial" w:hAnsi="Arial"/>
          <w:b/>
          <w:bCs/>
          <w:color w:val="1B365D"/>
          <w:sz w:val="24"/>
          <w:szCs w:val="24"/>
        </w:rPr>
        <w:t xml:space="preserve">모멘텀 3: EU 탄소국경조정메커니즘(CBAM) 본격 시행</w:t>
      </w:r>
    </w:p>
    <w:p>
      <w:pPr>
        <w:spacing w:before="60" w:after="100" w:line="340"/>
      </w:pPr>
      <w:r>
        <w:rPr>
          <w:rFonts w:ascii="Arial" w:cs="Arial" w:eastAsia="Arial" w:hAnsi="Arial"/>
          <w:b w:val="false"/>
          <w:bCs w:val="false"/>
          <w:i w:val="false"/>
          <w:iCs w:val="false"/>
          <w:color w:val="000000"/>
          <w:sz w:val="21"/>
          <w:szCs w:val="21"/>
        </w:rPr>
        <w:t xml:space="preserve">2026년 EU의 CBAM이 본격 시행되면, 글로벌 알루미늄 무역 구조가 근본적으로 바뀝니다. 알루미늄은 제련 과정에서 막대한 전력을 소비하는데, 석탄 화력 기반 알루미늄(주로 중국산)에 탄소 관세가 부과되면, 수력 등 재생에너지 기반 저탄소 알루미늄 생산자에게 프리미엄이 발생합니다. 노르웨이(Norsk Hydro), 캐나다(Rio Tinto Alcan), 아이슬란드 등 저탄소 생산국 기업에 구조적 수혜를 줍니다.</w:t>
      </w:r>
    </w:p>
    <w:p>
      <w:pPr>
        <w:pStyle w:val="Heading2"/>
        <w:spacing w:before="280" w:after="160"/>
      </w:pPr>
      <w:r>
        <w:rPr>
          <w:rFonts w:ascii="Arial" w:cs="Arial" w:eastAsia="Arial" w:hAnsi="Arial"/>
          <w:b/>
          <w:bCs/>
          <w:color w:val="848482"/>
          <w:sz w:val="28"/>
          <w:szCs w:val="28"/>
        </w:rPr>
        <w:t xml:space="preserve">4-2. AI 데이터센터와 알루미늄</w:t>
      </w:r>
    </w:p>
    <w:p>
      <w:pPr>
        <w:spacing w:before="60" w:after="100" w:line="340"/>
      </w:pPr>
      <w:r>
        <w:rPr>
          <w:rFonts w:ascii="Arial" w:cs="Arial" w:eastAsia="Arial" w:hAnsi="Arial"/>
          <w:b w:val="false"/>
          <w:bCs w:val="false"/>
          <w:i w:val="false"/>
          <w:iCs w:val="false"/>
          <w:color w:val="000000"/>
          <w:sz w:val="21"/>
          <w:szCs w:val="21"/>
        </w:rPr>
        <w:t xml:space="preserve">데이터센터에서 알루미늄은 서버 랙 프레임, 냉각 시스템(열교환기), 전력 배전 시스템(버스바), 건물 외피에 광범위하게 사용됩니다. EV 생산(경량화를 위해 차량당 알루미늄 사용량 증가), 항공우주(방위비 증가로 항공기 수요 확대), 태양광 밸류체인(산업용 압출재), 전력망 확충(도체 소재)에서 알루미늄 수요가 복합적으로 증가하고 있습니다. OANDA MarketPulse는 '구리와 알루미늄은 전자장비와 전력 생산에 광범위하게 쓰이며, AI 시대에 추가 랠리 여지가 있는 금속'이라고 평가했습니다.</w:t>
      </w:r>
    </w:p>
    <w:p>
      <w:pPr>
        <w:spacing w:before="60" w:after="100" w:line="340"/>
      </w:pPr>
      <w:r>
        <w:rPr>
          <w:rFonts w:ascii="Arial" w:cs="Arial" w:eastAsia="Arial" w:hAnsi="Arial"/>
          <w:b w:val="false"/>
          <w:bCs w:val="false"/>
          <w:i w:val="false"/>
          <w:iCs w:val="false"/>
          <w:color w:val="000000"/>
          <w:sz w:val="21"/>
          <w:szCs w:val="21"/>
        </w:rPr>
        <w:t xml:space="preserve">특히 액체냉각(Liquid Cooling) 시장의 폭발적 성장이 알루미늄 수요에 직접적 영향을 미칩니다. AI 칩의 전력 소비가 급증하면서, 기존 공냉식으로는 냉각이 불가능한 수준에 도달했습니다. 액체냉각 시장은 2025년 약 28.4억 달러에서 2032년 211.4억 달러로 연평균 33.2% 성장할 전망인데, 이 냉각 시스템의 열교환기와 콜드플레이트에 알루미늄이 핵심 소재로 사용됩니다.</w:t>
      </w:r>
    </w:p>
    <w:p>
      <w:pPr>
        <w:spacing w:before="60" w:after="100" w:line="340"/>
      </w:pPr>
      <w:r>
        <w:rPr>
          <w:rFonts w:ascii="Arial" w:cs="Arial" w:eastAsia="Arial" w:hAnsi="Arial"/>
          <w:b w:val="false"/>
          <w:bCs w:val="false"/>
          <w:i w:val="false"/>
          <w:iCs w:val="false"/>
          <w:color w:val="000000"/>
          <w:sz w:val="21"/>
          <w:szCs w:val="21"/>
        </w:rPr>
        <w:t xml:space="preserve">알루미늄 투자에서 중요한 점은 '순수 알루미늄 ETF'가 제한적이라는 것입니다. 현실적 투자 경로는 세 가지입니다. 첫째, 비철금속 복합 ETF인 PICK(iShares MSCI Global Metals &amp; Mining), DBB(Invesco DB Base Metals Fund), XME(SPDR S&amp;P Metals &amp; Mining)를 통한 간접 접근. 둘째, Alcoa, Rio Tinto, BHP 등 알루미늄 생산 비중이 높은 종합 광산주 직접 투자. 셋째, Norsk Hydro처럼 저탄소 알루미늄에 특화된 유럽 기업 투자로 CBAM 프리미엄을 노리는 전략입니다.</w:t>
      </w:r>
    </w:p>
    <w:p>
      <w:pPr>
        <w:spacing w:before="60" w:after="100" w:line="340"/>
      </w:pPr>
      <w:r>
        <w:rPr>
          <w:rFonts w:ascii="Arial" w:cs="Arial" w:eastAsia="Arial" w:hAnsi="Arial"/>
          <w:b w:val="false"/>
          <w:bCs w:val="false"/>
          <w:i w:val="false"/>
          <w:iCs w:val="false"/>
          <w:color w:val="000000"/>
          <w:sz w:val="21"/>
          <w:szCs w:val="21"/>
        </w:rPr>
        <w:t xml:space="preserve">한국 관련주: 조일알미늄, 남선알미늄, 노벨리스코리아(비상장). 한국은 알루미늄 1차 생산이 없어 가공·부품 기업 위주이며, 데이터센터 냉각 관련 한국 기업(한온시스템 등)도 간접 수혜권에 있습니다.</w:t>
      </w:r>
    </w:p>
    <w:p>
      <w:r>
        <w:br w:type="page"/>
      </w:r>
    </w:p>
    <w:p>
      <w:pPr>
        <w:pStyle w:val="Heading1"/>
        <w:spacing w:before="360" w:after="200"/>
      </w:pPr>
      <w:r>
        <w:rPr>
          <w:rFonts w:ascii="Arial" w:cs="Arial" w:eastAsia="Arial" w:hAnsi="Arial"/>
          <w:b/>
          <w:bCs/>
          <w:color w:val="1B365D"/>
          <w:sz w:val="36"/>
          <w:szCs w:val="36"/>
        </w:rPr>
        <w:t xml:space="preserve">Chapter 5. 희토류(Rare Earth) — 로봇의 관절, AI의 원료</w:t>
      </w:r>
    </w:p>
    <w:p>
      <w:pPr>
        <w:pBdr>
          <w:bottom w:val="single" w:color="6B3FA0" w:sz="6" w:space="1"/>
        </w:pBdr>
        <w:spacing w:before="200" w:after="200"/>
      </w:pPr>
      <w:r>
        <w:rPr>
          <w:rFonts w:ascii="Arial" w:cs="Arial" w:eastAsia="Arial" w:hAnsi="Arial"/>
          <w:sz w:val="2"/>
          <w:szCs w:val="2"/>
        </w:rPr>
        <w:t xml:space="preserve"/>
      </w:r>
    </w:p>
    <w:p>
      <w:pPr>
        <w:pStyle w:val="Heading2"/>
        <w:spacing w:before="280" w:after="160"/>
      </w:pPr>
      <w:r>
        <w:rPr>
          <w:rFonts w:ascii="Arial" w:cs="Arial" w:eastAsia="Arial" w:hAnsi="Arial"/>
          <w:b/>
          <w:bCs/>
          <w:color w:val="6B3FA0"/>
          <w:sz w:val="28"/>
          <w:szCs w:val="28"/>
        </w:rPr>
        <w:t xml:space="preserve">5-1. 2025년 결산: 지정학의 중심으로</w:t>
      </w:r>
    </w:p>
    <w:p>
      <w:pPr>
        <w:spacing w:before="60" w:after="100" w:line="340"/>
      </w:pPr>
      <w:r>
        <w:rPr>
          <w:rFonts w:ascii="Arial" w:cs="Arial" w:eastAsia="Arial" w:hAnsi="Arial"/>
          <w:b w:val="false"/>
          <w:bCs w:val="false"/>
          <w:i w:val="false"/>
          <w:iCs w:val="false"/>
          <w:color w:val="000000"/>
          <w:sz w:val="21"/>
          <w:szCs w:val="21"/>
        </w:rPr>
        <w:t xml:space="preserve">희토류는 2025년 가장 극적인 지정학적 전장이 되었습니다. NdPr(네오디뮴-프라세오디뮴 혼합물: 영구자석의 핵심 원료) 가격은 연초 대비 40% 이상 급등했고, 주간 단위로 13~14% 급등하는 장면이 연출되었습니다. MP Materials의 주가는 2025년 300% 이상, Lynas Rare Earths는 249% 상승하며, 희토류가 '국가 안보 자산'으로 격상된 한 해였습니다.</w:t>
      </w:r>
    </w:p>
    <w:p>
      <w:pPr>
        <w:spacing w:before="200" w:after="120"/>
      </w:pPr>
      <w:r>
        <w:rPr>
          <w:rFonts w:ascii="Arial" w:cs="Arial" w:eastAsia="Arial" w:hAnsi="Arial"/>
          <w:b/>
          <w:bCs/>
          <w:color w:val="1B365D"/>
          <w:sz w:val="24"/>
          <w:szCs w:val="24"/>
        </w:rPr>
        <w:t xml:space="preserve">모멘텀 1: 중국 'Announcement 18' (2025.4)</w:t>
      </w:r>
    </w:p>
    <w:p>
      <w:pPr>
        <w:spacing w:before="60" w:after="100" w:line="340"/>
      </w:pPr>
      <w:r>
        <w:rPr>
          <w:rFonts w:ascii="Arial" w:cs="Arial" w:eastAsia="Arial" w:hAnsi="Arial"/>
          <w:b w:val="false"/>
          <w:bCs w:val="false"/>
          <w:i w:val="false"/>
          <w:iCs w:val="false"/>
          <w:color w:val="000000"/>
          <w:sz w:val="21"/>
          <w:szCs w:val="21"/>
        </w:rPr>
        <w:t xml:space="preserve">중국은 2025년 4월 디스프로슘, 터비움, 사마륨, 이트륨 등 중희토류와 NdFeB 영구자석에 대한 포괄적 수출통제를 시행했습니다. 이것이 바로 'Announcement 18'입니다. 이는 단순 관세가 아닌 '자원 무기화'의 신호탄으로, 서방 공급망 재편을 가속화시켰습니다. 디스프로슘과 터비움은 고온 환경(EV 모터, 풍력발전 터빈)에서 영구자석의 성능을 유지하는 데 필수적인데, 중국이 글로벌 생산의 90% 이상을 장악하고 있어 대체 공급원이 사실상 없는 상태입니다.</w:t>
      </w:r>
    </w:p>
    <w:p>
      <w:pPr>
        <w:spacing w:before="200" w:after="120"/>
      </w:pPr>
      <w:r>
        <w:rPr>
          <w:rFonts w:ascii="Arial" w:cs="Arial" w:eastAsia="Arial" w:hAnsi="Arial"/>
          <w:b/>
          <w:bCs/>
          <w:color w:val="1B365D"/>
          <w:sz w:val="24"/>
          <w:szCs w:val="24"/>
        </w:rPr>
        <w:t xml:space="preserve">모멘텀 2: 미국 국방부의 MP Materials 지분 인수</w:t>
      </w:r>
    </w:p>
    <w:p>
      <w:pPr>
        <w:spacing w:before="60" w:after="100" w:line="340"/>
      </w:pPr>
      <w:r>
        <w:rPr>
          <w:rFonts w:ascii="Arial" w:cs="Arial" w:eastAsia="Arial" w:hAnsi="Arial"/>
          <w:b w:val="false"/>
          <w:bCs w:val="false"/>
          <w:i w:val="false"/>
          <w:iCs w:val="false"/>
          <w:color w:val="000000"/>
          <w:sz w:val="21"/>
          <w:szCs w:val="21"/>
        </w:rPr>
        <w:t xml:space="preserve">미국 국방부가 MP Materials의 15% 지분을 인수하고, NdPr 가격 하한선을 kg당 $110로 보장하는 PPA(가격보호협정)를 체결한 것은 희토류 투자의 게임 체인저였습니다. 이는 미국 정부가 '어떤 가격에서든 국내 희토류 생산을 유지하겠다'는 의지의 표현입니다. 이후 사우디-미국 합작 희토류 정제소 건설 계약까지 체결되며, 희토류가 '최상위 외교 어젠다'로 부상했습니다. Goldman Sachs는 MP Materials에 매수 의견과 $77 목표가를 제시했습니다.</w:t>
      </w:r>
    </w:p>
    <w:p>
      <w:pPr>
        <w:spacing w:before="200" w:after="120"/>
      </w:pPr>
      <w:r>
        <w:rPr>
          <w:rFonts w:ascii="Arial" w:cs="Arial" w:eastAsia="Arial" w:hAnsi="Arial"/>
          <w:b/>
          <w:bCs/>
          <w:color w:val="1B365D"/>
          <w:sz w:val="24"/>
          <w:szCs w:val="24"/>
        </w:rPr>
        <w:t xml:space="preserve">모멘텀 3: 휴머노이드 로봇 수요 폭발</w:t>
      </w:r>
    </w:p>
    <w:p>
      <w:pPr>
        <w:spacing w:before="60" w:after="100" w:line="340"/>
      </w:pPr>
      <w:r>
        <w:rPr>
          <w:rFonts w:ascii="Arial" w:cs="Arial" w:eastAsia="Arial" w:hAnsi="Arial"/>
          <w:b w:val="false"/>
          <w:bCs w:val="false"/>
          <w:i w:val="false"/>
          <w:iCs w:val="false"/>
          <w:color w:val="000000"/>
          <w:sz w:val="21"/>
          <w:szCs w:val="21"/>
        </w:rPr>
        <w:t xml:space="preserve">IDTechEx에 따르면 휴머노이드 로봇의 95% 이상의 모터가 희토류 영구자석을 사용하며, 한 대당 평균 40개의 모터가 탑재됩니다. 2036년까지 로보틱스 분야 희토류 자석 수요는 7배 증가할 전망입니다. Tesla(Optimus)와 BYD가 자동차 조립에 휴머노이드 로봇을 본격 도입하면서, 이 수요는 가속화되고 있습니다. 로봇 한 대의 희토류 자석 사용량은 EV 모터 수 대분에 해당하므로, 로봇 양산이 본격화되면 희토류 수급에 결정적 영향을 미칩니다.</w:t>
      </w:r>
    </w:p>
    <w:p>
      <w:pPr>
        <w:pStyle w:val="Heading2"/>
        <w:spacing w:before="280" w:after="160"/>
      </w:pPr>
      <w:r>
        <w:rPr>
          <w:rFonts w:ascii="Arial" w:cs="Arial" w:eastAsia="Arial" w:hAnsi="Arial"/>
          <w:b/>
          <w:bCs/>
          <w:color w:val="6B3FA0"/>
          <w:sz w:val="28"/>
          <w:szCs w:val="28"/>
        </w:rPr>
        <w:t xml:space="preserve">5-2. 공급망 구조: 중국 90% vs 나머지 세계 10%</w:t>
      </w:r>
    </w:p>
    <w:p>
      <w:pPr>
        <w:spacing w:before="60" w:after="100" w:line="340"/>
      </w:pPr>
      <w:r>
        <w:rPr>
          <w:rFonts w:ascii="Arial" w:cs="Arial" w:eastAsia="Arial" w:hAnsi="Arial"/>
          <w:b w:val="false"/>
          <w:bCs w:val="false"/>
          <w:i w:val="false"/>
          <w:iCs w:val="false"/>
          <w:color w:val="000000"/>
          <w:sz w:val="21"/>
          <w:szCs w:val="21"/>
        </w:rPr>
        <w:t xml:space="preserve">2025년 기준 중국은 글로벌 희토류 채굴의 69%, 분리의 90%, 금속화의 90%, 영구자석 제조의 90%를 장악하고 있습니다. IDTechEx는 2036년에도 중국이 최대 생산국으로 남을 것으로 전망합니다. 글로벌 희토류 원소 시장은 2025년 42억 달러에서 2035년 97억 달러로 성장할 전망이며(CAGR 8.7%), 영구자석 시장은 2036년까지 연간 33만 톤 이상의 공급이 필요합니다.</w:t>
      </w:r>
    </w:p>
    <w:p>
      <w:pPr>
        <w:spacing w:before="60" w:after="100" w:line="340"/>
      </w:pPr>
      <w:r>
        <w:rPr>
          <w:rFonts w:ascii="Arial" w:cs="Arial" w:eastAsia="Arial" w:hAnsi="Arial"/>
          <w:b w:val="false"/>
          <w:bCs w:val="false"/>
          <w:i w:val="false"/>
          <w:iCs w:val="false"/>
          <w:color w:val="000000"/>
          <w:sz w:val="21"/>
          <w:szCs w:val="21"/>
        </w:rPr>
        <w:t xml:space="preserve">Lynas Rare Earths는 NdPr 분리 2,080톤으로 사상 최대 생산량을 기록했으며, 한국의 JS Link와 말레이시아 자석 공장 건설 MoU를 체결했습니다. 미국에서는 USA Rare Earth가 오클라호마 자석 공장 2026년 가동을 앞두고 있으며, IPO 이후 215% 상승했습니다. 한국은 성림첨단산업이 유일한 희토류 영구자석 전문 기업으로, 로봇 모터 수요 증가의 직접적 수혜주입니다.</w:t>
      </w:r>
    </w:p>
    <w:p>
      <w:pPr>
        <w:spacing w:before="60" w:after="100" w:line="340"/>
      </w:pPr>
      <w:r>
        <w:rPr>
          <w:rFonts w:ascii="Arial" w:cs="Arial" w:eastAsia="Arial" w:hAnsi="Arial"/>
          <w:b w:val="false"/>
          <w:bCs w:val="false"/>
          <w:i w:val="false"/>
          <w:iCs w:val="false"/>
          <w:color w:val="000000"/>
          <w:sz w:val="21"/>
          <w:szCs w:val="21"/>
        </w:rPr>
        <w:t xml:space="preserve">전략적 비축 트렌드도 주목해야 합니다. 2025년부터 주요 수요 기업들이 기존 스팟 구매에서 12~18개월 장기 계약(Blanket Agreement)으로 전환하고 있습니다. 이는 '가격이 더 오르기 전에 물량을 확보하겠다'는 전략이며, 현물 시장의 유통량을 더욱 줄이는 효과를 가져옵니다. 일본의 TDK와 독일의 VAC(Vacuumschmelze)가 대표적인 장기 계약 전환 기업입니다.</w:t>
      </w:r>
    </w:p>
    <w:p>
      <w:pPr>
        <w:pStyle w:val="Heading2"/>
        <w:spacing w:before="280" w:after="160"/>
      </w:pPr>
      <w:r>
        <w:rPr>
          <w:rFonts w:ascii="Arial" w:cs="Arial" w:eastAsia="Arial" w:hAnsi="Arial"/>
          <w:b/>
          <w:bCs/>
          <w:color w:val="6B3FA0"/>
          <w:sz w:val="28"/>
          <w:szCs w:val="28"/>
        </w:rPr>
        <w:t xml:space="preserve">5-3. 대장주·ETF·투자 전략</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620"/>
        <w:gridCol w:w="1620"/>
        <w:gridCol w:w="2268"/>
        <w:gridCol w:w="2268"/>
      </w:tblGrid>
      <w:tr>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종목/ETF</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유형</w:t>
            </w:r>
          </w:p>
        </w:tc>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2025 YTD</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핵심 포인트</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파생주/관련주</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MP Materials (MP)</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미국 유일 통합</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+300%+</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국방부 15% 지분, Apple 공급계약, 사우디 JV</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USA Rare Earth (USAR)</w:t>
            </w:r>
          </w:p>
        </w:tc>
      </w:tr>
      <w:tr>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Lynas (LYSDY)</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중국 외 최대</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+249%</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NdPr 2,080톤 사상최대, 미국 DoD 지원</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JS Link (한국 MoU)</w:t>
            </w:r>
          </w:p>
        </w:tc>
      </w:tr>
      <w:tr>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REMX (VanEck)</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희토류 ETF</w:t>
            </w:r>
          </w:p>
        </w:tc>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+85%</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Lynas, Pilbara, MP 편입, 희토류 순수 ETF</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PICK (광범위 광산 ETF)</w:t>
            </w:r>
          </w:p>
        </w:tc>
      </w:tr>
    </w:tbl>
    <w:p>
      <w:pPr>
        <w:spacing w:before="60" w:after="100" w:line="340"/>
      </w:pPr>
      <w:r>
        <w:rPr>
          <w:rFonts w:ascii="Arial" w:cs="Arial" w:eastAsia="Arial" w:hAnsi="Arial"/>
          <w:b w:val="false"/>
          <w:bCs w:val="false"/>
          <w:i w:val="false"/>
          <w:iCs w:val="false"/>
          <w:color w:val="000000"/>
          <w:sz w:val="21"/>
          <w:szCs w:val="21"/>
        </w:rPr>
        <w:t xml:space="preserve">한국 관련주: 성림첨단산업(유일한 국내 희토류 영구자석 기업, 로봇 모터 수혜), 포스코퓨처엠(양극재+희토류 재활용), 에코프로비엠(블랙매스 회수 기술). 희토류는 '프렌드쇼어링 프리미엄'이 가장 극대화되는 섹터입니다.</w:t>
      </w:r>
    </w:p>
    <w:p>
      <w:r>
        <w:br w:type="page"/>
      </w:r>
    </w:p>
    <w:p>
      <w:pPr>
        <w:pStyle w:val="Heading1"/>
        <w:spacing w:before="360" w:after="200"/>
      </w:pPr>
      <w:r>
        <w:rPr>
          <w:rFonts w:ascii="Arial" w:cs="Arial" w:eastAsia="Arial" w:hAnsi="Arial"/>
          <w:b/>
          <w:bCs/>
          <w:color w:val="1B365D"/>
          <w:sz w:val="36"/>
          <w:szCs w:val="36"/>
        </w:rPr>
        <w:t xml:space="preserve">PART II. 반도체 소재·배터리 광물 심층 분석</w:t>
      </w:r>
    </w:p>
    <w:p>
      <w:pPr>
        <w:pBdr>
          <w:bottom w:val="single" w:color="2E75B6" w:sz="4" w:space="1"/>
        </w:pBdr>
        <w:spacing w:before="200" w:after="200"/>
      </w:pPr>
      <w:r>
        <w:rPr>
          <w:rFonts w:ascii="Arial" w:cs="Arial" w:eastAsia="Arial" w:hAnsi="Arial"/>
          <w:sz w:val="2"/>
          <w:szCs w:val="2"/>
        </w:rPr>
        <w:t xml:space="preserve"/>
      </w:r>
    </w:p>
    <w:p>
      <w:pPr>
        <w:pStyle w:val="Heading1"/>
        <w:spacing w:before="360" w:after="200"/>
      </w:pPr>
      <w:r>
        <w:rPr>
          <w:rFonts w:ascii="Arial" w:cs="Arial" w:eastAsia="Arial" w:hAnsi="Arial"/>
          <w:b/>
          <w:bCs/>
          <w:color w:val="1B365D"/>
          <w:sz w:val="36"/>
          <w:szCs w:val="36"/>
        </w:rPr>
        <w:t xml:space="preserve">6. 반도체 소재 (Level 0-2: 혈액 성분)</w:t>
      </w:r>
    </w:p>
    <w:p>
      <w:pPr>
        <w:pStyle w:val="Heading2"/>
        <w:spacing w:before="280" w:after="160"/>
      </w:pPr>
      <w:r>
        <w:rPr>
          <w:rFonts w:ascii="Arial" w:cs="Arial" w:eastAsia="Arial" w:hAnsi="Arial"/>
          <w:b/>
          <w:bCs/>
          <w:color w:val="2E75B6"/>
          <w:sz w:val="28"/>
          <w:szCs w:val="28"/>
        </w:rPr>
        <w:t xml:space="preserve">6-1. 포토레지스트(PR): 노광 공정의 심장</w:t>
      </w:r>
    </w:p>
    <w:p>
      <w:pPr>
        <w:spacing w:before="60" w:after="100" w:line="340"/>
      </w:pPr>
      <w:r>
        <w:rPr>
          <w:rFonts w:ascii="Arial" w:cs="Arial" w:eastAsia="Arial" w:hAnsi="Arial"/>
          <w:b w:val="false"/>
          <w:bCs w:val="false"/>
          <w:i w:val="false"/>
          <w:iCs w:val="false"/>
          <w:color w:val="000000"/>
          <w:sz w:val="21"/>
          <w:szCs w:val="21"/>
        </w:rPr>
        <w:t xml:space="preserve">반도체 제조 공정에서 소재는 '소모품'이지만, '순도가 생명'입니다. 포토레지스트(PR)는 빛에 반응하여 회로 패턴을 전사하는 감광액으로, 노광 공정의 핵심 소재입니다. EUV(극자외선) 공정으로 전환되면서 차세대 PR 기술인 MOR(메탈옥사이드레지스트) 개발이 활발히 진행 중입니다. 기존 CAR(화학증폭형) 대비 해상도와 패턴 정밀도가 크게 향상되며, 2nm 이하 공정에서 필수적으로 요구됩니다.</w:t>
      </w:r>
    </w:p>
    <w:p>
      <w:pPr>
        <w:spacing w:before="60" w:after="100" w:line="340"/>
      </w:pPr>
      <w:r>
        <w:rPr>
          <w:rFonts w:ascii="Arial" w:cs="Arial" w:eastAsia="Arial" w:hAnsi="Arial"/>
          <w:b w:val="false"/>
          <w:bCs w:val="false"/>
          <w:i w:val="false"/>
          <w:iCs w:val="false"/>
          <w:color w:val="000000"/>
          <w:sz w:val="21"/>
          <w:szCs w:val="21"/>
        </w:rPr>
        <w:t xml:space="preserve">동진쎄미켐은 V-낸드용 KrF Thick PR로 '세계일류상품'에 선정되었으며(최근 3년 수출 1억 8,590만 달러), EUV PR, PFAS-free PR, MOR 기술을 상당 부분 확보했다고 발표했습니다. 일본이 중국향 PR 수출을 사실상 중단하면서, 국산 대체재에 대한 기회가 확대되고 있습니다. 글로벌 시장은 JSR(인텔이 인수), 도쿄오카(TOK), 신에쯔 등 일본 기업이 약 80%를 장악하고 있어, 한국 기업의 국산화는 '안보적 필요'이기도 합니다.</w:t>
      </w:r>
    </w:p>
    <w:p>
      <w:pPr>
        <w:pStyle w:val="Heading2"/>
        <w:spacing w:before="280" w:after="160"/>
      </w:pPr>
      <w:r>
        <w:rPr>
          <w:rFonts w:ascii="Arial" w:cs="Arial" w:eastAsia="Arial" w:hAnsi="Arial"/>
          <w:b/>
          <w:bCs/>
          <w:color w:val="2E75B6"/>
          <w:sz w:val="28"/>
          <w:szCs w:val="28"/>
        </w:rPr>
        <w:t xml:space="preserve">6-2. CMP 슬러리: 웨이퍼 평탄화의 핵심</w:t>
      </w:r>
    </w:p>
    <w:p>
      <w:pPr>
        <w:spacing w:before="60" w:after="100" w:line="340"/>
      </w:pPr>
      <w:r>
        <w:rPr>
          <w:rFonts w:ascii="Arial" w:cs="Arial" w:eastAsia="Arial" w:hAnsi="Arial"/>
          <w:b w:val="false"/>
          <w:bCs w:val="false"/>
          <w:i w:val="false"/>
          <w:iCs w:val="false"/>
          <w:color w:val="000000"/>
          <w:sz w:val="21"/>
          <w:szCs w:val="21"/>
        </w:rPr>
        <w:t xml:space="preserve">CMP(Chemical Mechanical Polishing) 슬러리 시장은 2026년까지 26억 달러(약 3.7조원)로 연평균 6% 성장할 전망입니다. 3D 낸드 적층이 200단 이상으로 고도화되면서 CMP 공정 횟수가 급증하고, 루테늄(Ru)과 코발트(Co) 등 신규 금속물질 도입으로 해당 분야는 연평균 14%의 성장이 예견됩니다. Entegris(미국)가 글로벌 리더이며, 한국은 KC Tech, 솔브레인 등이 국산화를 진행 중입니다.</w:t>
      </w:r>
    </w:p>
    <w:p>
      <w:pPr>
        <w:pStyle w:val="Heading2"/>
        <w:spacing w:before="280" w:after="160"/>
      </w:pPr>
      <w:r>
        <w:rPr>
          <w:rFonts w:ascii="Arial" w:cs="Arial" w:eastAsia="Arial" w:hAnsi="Arial"/>
          <w:b/>
          <w:bCs/>
          <w:color w:val="2E75B6"/>
          <w:sz w:val="28"/>
          <w:szCs w:val="28"/>
        </w:rPr>
        <w:t xml:space="preserve">6-3. 특수가스: 반도체의 '산소'</w:t>
      </w:r>
    </w:p>
    <w:p>
      <w:pPr>
        <w:spacing w:before="60" w:after="100" w:line="340"/>
      </w:pPr>
      <w:r>
        <w:rPr>
          <w:rFonts w:ascii="Arial" w:cs="Arial" w:eastAsia="Arial" w:hAnsi="Arial"/>
          <w:b w:val="false"/>
          <w:bCs w:val="false"/>
          <w:i w:val="false"/>
          <w:iCs w:val="false"/>
          <w:color w:val="000000"/>
          <w:sz w:val="21"/>
          <w:szCs w:val="21"/>
        </w:rPr>
        <w:t xml:space="preserve">네온(Ne), 삼불화질소(NF3), WF6 등은 반도체 식각·증착·세정 공정에 필수적입니다. 2025년 NF3 수급이 매우 타이트한 상황이 지속되고 있으며, 반도체 특수가스 시장은 연 3~5% 성장이 예상됩니다. SK머티리얼즈는 SK하이닉스 HBM 증설의 직접 수혜주이며, 후성은 반도체 미세화에 따른 C4F6, WF6 수요 증가의 수혜를 받고 있습니다. 원익머트리얼즈는 삼성전자향 특수가스 공급 확대가 기대됩니다.</w:t>
      </w:r>
    </w:p>
    <w:p>
      <w:pPr>
        <w:spacing w:before="60" w:after="100" w:line="340"/>
      </w:pPr>
      <w:r>
        <w:rPr>
          <w:rFonts w:ascii="Arial" w:cs="Arial" w:eastAsia="Arial" w:hAnsi="Arial"/>
          <w:b w:val="false"/>
          <w:bCs w:val="false"/>
          <w:i w:val="false"/>
          <w:iCs w:val="false"/>
          <w:color w:val="000000"/>
          <w:sz w:val="21"/>
          <w:szCs w:val="21"/>
        </w:rPr>
        <w:t xml:space="preserve">글로벌 리더: Entegris, Air Liquide, Linde. 한국 핵심주: SK머티리얼즈, 동진쎄미켐, 후성, 원익머트리얼즈, 하나머티리얼즈, 솔브레인, KC Tech.</w:t>
      </w:r>
    </w:p>
    <w:p>
      <w:pPr>
        <w:spacing w:before="60" w:after="100" w:line="340"/>
      </w:pPr>
      <w:r>
        <w:rPr>
          <w:rFonts w:ascii="Arial" w:cs="Arial" w:eastAsia="Arial" w:hAnsi="Arial"/>
          <w:b w:val="false"/>
          <w:bCs w:val="false"/>
          <w:i w:val="false"/>
          <w:iCs w:val="false"/>
          <w:color w:val="000000"/>
          <w:sz w:val="21"/>
          <w:szCs w:val="21"/>
        </w:rPr>
        <w:t xml:space="preserve">반도체 소재 섹터의 투자 포인트를 정리합니다. 첫째, HBM(고대역폭메모리) 증설이 핵심 드라이버입니다. SK하이닉스가 HBM 시장의 약 50%를 점유하고 있고, 2025년 HBM 출하량이 전년 대비 3배 이상 증가하면서 관련 소재 수요가 폭증하고 있습니다. 둘째, 일본의 대중국 수출 규제로 한국 소재 기업에 '반사이익'이 발생하고 있습니다. 포토레지스트, 불화수소, 불화폴리이미드 등 핵심 소재에서 일본 의존도를 낮추는 과정이 한국 기업에게는 시장 진입 기회입니다. 셋째, PFAS(과불화합물) 규제가 새로운 변수입니다. EU를 중심으로 PFAS 사용 규제가 강화되면서, PFAS-free 소재 기술을 보유한 기업에 프리미엄이 형성되고 있습니다.</w:t>
      </w:r>
    </w:p>
    <w:p>
      <w:r>
        <w:br w:type="page"/>
      </w:r>
    </w:p>
    <w:p>
      <w:pPr>
        <w:pStyle w:val="Heading1"/>
        <w:spacing w:before="360" w:after="200"/>
      </w:pPr>
      <w:r>
        <w:rPr>
          <w:rFonts w:ascii="Arial" w:cs="Arial" w:eastAsia="Arial" w:hAnsi="Arial"/>
          <w:b/>
          <w:bCs/>
          <w:color w:val="1B365D"/>
          <w:sz w:val="36"/>
          <w:szCs w:val="36"/>
        </w:rPr>
        <w:t xml:space="preserve">7. 배터리 광물 (Level 0-3: 미네랄)</w:t>
      </w:r>
    </w:p>
    <w:p>
      <w:pPr>
        <w:spacing w:before="60" w:after="100" w:line="340"/>
      </w:pPr>
      <w:r>
        <w:rPr>
          <w:rFonts w:ascii="Arial" w:cs="Arial" w:eastAsia="Arial" w:hAnsi="Arial"/>
          <w:b w:val="false"/>
          <w:bCs w:val="false"/>
          <w:i w:val="false"/>
          <w:iCs w:val="false"/>
          <w:color w:val="000000"/>
          <w:sz w:val="21"/>
          <w:szCs w:val="21"/>
        </w:rPr>
        <w:t xml:space="preserve">리튬, 니켈, 코발트, 흑연은 ESS(에너지저장장치)와 로봇 배터리의 핵심 원재료입니다. AI 데이터센터의 전력 안정화를 위한 GWh급 ESS 수요가 폭발적으로 증가하고 있으며, 휴머노이드 로봇의 구동 배터리 수요도 새로운 성장 동력입니다. LFP(리튬인산철) 배터리는 안전성과 수명 측면에서 ESS용으로 각광받고, 삼원계(NCM/NCA)는 에너지 밀도 우위로 로봇과 모빌리티 분야에서 강세입니다.</w:t>
      </w:r>
    </w:p>
    <w:p>
      <w:pPr>
        <w:spacing w:before="60" w:after="100" w:line="340"/>
      </w:pPr>
      <w:r>
        <w:rPr>
          <w:rFonts w:ascii="Arial" w:cs="Arial" w:eastAsia="Arial" w:hAnsi="Arial"/>
          <w:b w:val="false"/>
          <w:bCs w:val="false"/>
          <w:i w:val="false"/>
          <w:iCs w:val="false"/>
          <w:color w:val="000000"/>
          <w:sz w:val="21"/>
          <w:szCs w:val="21"/>
        </w:rPr>
        <w:t xml:space="preserve">리튬 시장은 2023~2024년의 가격 폭락 이후 2025년 하반기부터 반등 조짐을 보이고 있습니다. 핵심은 '공급 축소'입니다. 가격 하락으로 고비용 광산들이 감산/폐광에 나서면서, 2026~2027년에는 공급 부족이 재현될 수 있습니다. Albemarle, SQM 등 리튬 메이저들은 'Capital Discipline(자본 규율)'을 강조하며 신규 투자를 억제하고 있어, 가격 반등 시 수혜가 집중될 전망입니다.</w:t>
      </w:r>
    </w:p>
    <w:p>
      <w:pPr>
        <w:spacing w:before="60" w:after="100" w:line="340"/>
      </w:pPr>
      <w:r>
        <w:rPr>
          <w:rFonts w:ascii="Arial" w:cs="Arial" w:eastAsia="Arial" w:hAnsi="Arial"/>
          <w:b w:val="false"/>
          <w:bCs w:val="false"/>
          <w:i w:val="false"/>
          <w:iCs w:val="false"/>
          <w:color w:val="000000"/>
          <w:sz w:val="21"/>
          <w:szCs w:val="21"/>
        </w:rPr>
        <w:t xml:space="preserve">AI 데이터센터와 배터리 광물의 연결고리는 ESS(에너지저장장치)입니다. 북미 데이터센터 투자가 2025년 500억 달러에 달하면서, 전력 안정화를 위한 대규모 ESS 설치가 필수가 되었습니다. 하이퍼스케일 데이터센터 한 곳의 ESS 필요량이 수십~수백 MWh에 달하며, 이를 위해 리튬·니켈·코발트·흑연이 대량 소비됩니다. 특히 LFP 배터리가 ESS용으로 급부상하면서, 리튬인산철 양극재 수요가 폭발적으로 증가하고 있습니다.</w:t>
      </w:r>
    </w:p>
    <w:p>
      <w:pPr>
        <w:spacing w:before="60" w:after="100" w:line="340"/>
      </w:pPr>
      <w:r>
        <w:rPr>
          <w:rFonts w:ascii="Arial" w:cs="Arial" w:eastAsia="Arial" w:hAnsi="Arial"/>
          <w:b w:val="false"/>
          <w:bCs w:val="false"/>
          <w:i w:val="false"/>
          <w:iCs w:val="false"/>
          <w:color w:val="000000"/>
          <w:sz w:val="21"/>
          <w:szCs w:val="21"/>
        </w:rPr>
        <w:t xml:space="preserve">글로벌 리더: Albemarle(리튬 #1), SQM, CATL, BYD. 한국 핵심주: 포스코퓨처엠(양극재 + 리튬 리사이클링), 에코프로비엠(하이니켈 양극재 글로벌 2위), 엘앤에프(테슬라향 NCA 양극재), LG에너지솔루션(배터리 셀 글로벌 2위), 삼성SDI(전고체 배터리 선도). ETF: Global X Lithium &amp; Battery Tech ETF (LIT) — Albemarle, SQM, LG에너지, 삼성SDI 편입.</w:t>
      </w:r>
    </w:p>
    <w:p>
      <w:r>
        <w:br w:type="page"/>
      </w:r>
    </w:p>
    <w:p>
      <w:pPr>
        <w:pStyle w:val="Heading1"/>
        <w:spacing w:before="360" w:after="200"/>
      </w:pPr>
      <w:r>
        <w:rPr>
          <w:rFonts w:ascii="Arial" w:cs="Arial" w:eastAsia="Arial" w:hAnsi="Arial"/>
          <w:b/>
          <w:bCs/>
          <w:color w:val="1B365D"/>
          <w:sz w:val="36"/>
          <w:szCs w:val="36"/>
        </w:rPr>
        <w:t xml:space="preserve">PART III. 투자 전략 종합</w:t>
      </w:r>
    </w:p>
    <w:p>
      <w:pPr>
        <w:pBdr>
          <w:bottom w:val="single" w:color="2E75B6" w:sz="4" w:space="1"/>
        </w:pBdr>
        <w:spacing w:before="200" w:after="200"/>
      </w:pPr>
      <w:r>
        <w:rPr>
          <w:rFonts w:ascii="Arial" w:cs="Arial" w:eastAsia="Arial" w:hAnsi="Arial"/>
          <w:sz w:val="2"/>
          <w:szCs w:val="2"/>
        </w:rPr>
        <w:t xml:space="preserve"/>
      </w:r>
    </w:p>
    <w:p>
      <w:pPr>
        <w:pStyle w:val="Heading1"/>
        <w:spacing w:before="360" w:after="200"/>
      </w:pPr>
      <w:r>
        <w:rPr>
          <w:rFonts w:ascii="Arial" w:cs="Arial" w:eastAsia="Arial" w:hAnsi="Arial"/>
          <w:b/>
          <w:bCs/>
          <w:color w:val="1B365D"/>
          <w:sz w:val="36"/>
          <w:szCs w:val="36"/>
        </w:rPr>
        <w:t xml:space="preserve">8. 원자재별 ETF 종합 가이드</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944"/>
        <w:gridCol w:w="1944"/>
        <w:gridCol w:w="1944"/>
        <w:gridCol w:w="2268"/>
      </w:tblGrid>
      <w:tr>
        <w:tc>
          <w:tcPr>
            <w:tcW w:type="dxa" w:w="16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원자재</w:t>
            </w:r>
          </w:p>
        </w:tc>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현물 ETF</w:t>
            </w:r>
          </w:p>
        </w:tc>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광산주 ETF</w:t>
            </w:r>
          </w:p>
        </w:tc>
        <w:tc>
          <w:tcPr>
            <w:tcW w:type="dxa" w:w="1944"/>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2025 수익률</w:t>
            </w:r>
          </w:p>
        </w:tc>
        <w:tc>
          <w:tcPr>
            <w:tcW w:type="dxa" w:w="2268"/>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핵심 편입 종목</w:t>
            </w:r>
          </w:p>
        </w:tc>
      </w:tr>
      <w:tr>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금</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GLD / IAU</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GDX / GDXJ</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GLD +55% / GDX +166%</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Newmont, Barrick, Agnico Eagle</w:t>
            </w:r>
          </w:p>
        </w:tc>
      </w:tr>
      <w:tr>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은</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SLV / SIVR</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SIL / SILJ / SLVP</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SLV +148% / SLVP +212%</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Wheaton, Pan American, Coeur</w:t>
            </w:r>
          </w:p>
        </w:tc>
      </w:tr>
      <w:tr>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구리</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COPX / COPJ</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COPX +80%</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Freeport, Southern Copper, Lundin</w:t>
            </w:r>
          </w:p>
        </w:tc>
      </w:tr>
      <w:tr>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알루미늄</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DBB (비철복합)</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PICK / XME</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BHP, Rio Tinto, Alcoa</w:t>
            </w:r>
          </w:p>
        </w:tc>
      </w:tr>
      <w:tr>
        <w:tc>
          <w:tcPr>
            <w:tcW w:type="dxa" w:w="162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희토류</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REMX</w:t>
            </w:r>
          </w:p>
        </w:tc>
        <w:tc>
          <w:tcPr>
            <w:tcW w:type="dxa" w:w="1944"/>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REMX +85%</w:t>
            </w:r>
          </w:p>
        </w:tc>
        <w:tc>
          <w:tcPr>
            <w:tcW w:type="dxa" w:w="2268"/>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000000"/>
                <w:sz w:val="19"/>
                <w:szCs w:val="19"/>
              </w:rPr>
              <w:t xml:space="preserve">MP Materials, Lynas, Pilbara</w:t>
            </w:r>
          </w:p>
        </w:tc>
      </w:tr>
      <w:tr>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배터리광물</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LIT</w:t>
            </w:r>
          </w:p>
        </w:tc>
        <w:tc>
          <w:tcPr>
            <w:tcW w:type="dxa" w:w="1944"/>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w:t>
            </w:r>
          </w:p>
        </w:tc>
        <w:tc>
          <w:tcPr>
            <w:tcW w:type="dxa" w:w="2268"/>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19"/>
                <w:szCs w:val="19"/>
              </w:rPr>
              <w:t xml:space="preserve">Albemarle, SQM, LG에너지, 삼성SDI</w:t>
            </w:r>
          </w:p>
        </w:tc>
      </w:tr>
    </w:tbl>
    <w:p>
      <w:pPr>
        <w:spacing w:before="60" w:after="100" w:line="340"/>
      </w:pPr>
      <w:r>
        <w:rPr>
          <w:rFonts w:ascii="Arial" w:cs="Arial" w:eastAsia="Arial" w:hAnsi="Arial"/>
          <w:b w:val="false"/>
          <w:bCs w:val="false"/>
          <w:i w:val="false"/>
          <w:iCs w:val="false"/>
          <w:color w:val="000000"/>
          <w:sz w:val="21"/>
          <w:szCs w:val="21"/>
        </w:rPr>
        <w:t xml:space="preserve">2025년 ETF 시장에서 귀금속과 광산주가 압도적 성과를 냈습니다. ETF.com에 따르면, 2025년 상위 20개 ETF 중 11개가 은·금 광산주 ETF였으며, 그 뒤를 귀금속 현물 ETF가 따랐습니다. SLVP(+212%)가 비레버리지 ETF 전체 1위, GDX(+166%)가 11위를 기록했습니다. 이는 원자재 섹터에 대한 기관투자자의 관심이 구조적으로 높아지고 있음을 보여줍니다.</w:t>
      </w:r>
    </w:p>
    <w:p>
      <w:pPr>
        <w:spacing w:before="60" w:after="100" w:line="340"/>
      </w:pPr>
      <w:r>
        <w:rPr>
          <w:rFonts w:ascii="Arial" w:cs="Arial" w:eastAsia="Arial" w:hAnsi="Arial"/>
          <w:b w:val="false"/>
          <w:bCs w:val="false"/>
          <w:i w:val="false"/>
          <w:iCs w:val="false"/>
          <w:color w:val="000000"/>
          <w:sz w:val="21"/>
          <w:szCs w:val="21"/>
        </w:rPr>
        <w:t xml:space="preserve">금 ETF 실전 팁: GLD(보수 0.40%, 유동성 최고)와 IAU(보수 0.25%, 장기 보유 유리), GLDM(보수 0.10%, 소액 투자 최적)의 차이를 이해해야 합니다. 금광주 ETF(GDX)는 금 현물 대비 '레버리지 효과'가 있어, 2025년 금이 55% 오를 때 GDX는 166% 올랐습니다. 단, 하락 시에도 같은 레버리지가 작동합니다. 은 ETF는 SLV(현물 추종)와 SIL(광산주)의 성격이 다르며, 더 공격적인 투자자에게는 SILJ(주니어 은광주, 2025년 +195%)가 적합합니다.</w:t>
      </w:r>
    </w:p>
    <w:p>
      <w:pPr>
        <w:spacing w:before="60" w:after="100" w:line="340"/>
      </w:pPr>
      <w:r>
        <w:rPr>
          <w:rFonts w:ascii="Arial" w:cs="Arial" w:eastAsia="Arial" w:hAnsi="Arial"/>
          <w:b w:val="false"/>
          <w:bCs w:val="false"/>
          <w:i w:val="false"/>
          <w:iCs w:val="false"/>
          <w:color w:val="000000"/>
          <w:sz w:val="21"/>
          <w:szCs w:val="21"/>
        </w:rPr>
        <w:t xml:space="preserve">구리 ETF는 현물 추종 ETF가 없으므로 COPX(광산주)가 유일한 순수 접근법이며, Freeport-McMoRan(FCX) 단일 종목이 구리 가격 대용 지표로 가장 많이 쓰입니다. 희토류는 REMX가 유일한 순수 ETF이며, MP Materials와 Lynas를 직접 매수하는 것이 가장 집중된 포지션입니다.</w:t>
      </w:r>
    </w:p>
    <w:p>
      <w:r>
        <w:br w:type="page"/>
      </w:r>
    </w:p>
    <w:p>
      <w:pPr>
        <w:pStyle w:val="Heading1"/>
        <w:spacing w:before="360" w:after="200"/>
      </w:pPr>
      <w:r>
        <w:rPr>
          <w:rFonts w:ascii="Arial" w:cs="Arial" w:eastAsia="Arial" w:hAnsi="Arial"/>
          <w:b/>
          <w:bCs/>
          <w:color w:val="1B365D"/>
          <w:sz w:val="36"/>
          <w:szCs w:val="36"/>
        </w:rPr>
        <w:t xml:space="preserve">9. 주식투자자가 반드시 알아야 할 추가 챕터</w:t>
      </w:r>
    </w:p>
    <w:p>
      <w:pPr>
        <w:pStyle w:val="Heading2"/>
        <w:spacing w:before="280" w:after="160"/>
      </w:pPr>
      <w:r>
        <w:rPr>
          <w:rFonts w:ascii="Arial" w:cs="Arial" w:eastAsia="Arial" w:hAnsi="Arial"/>
          <w:b/>
          <w:bCs/>
          <w:color w:val="2E75B6"/>
          <w:sz w:val="28"/>
          <w:szCs w:val="28"/>
        </w:rPr>
        <w:t xml:space="preserve">9-1. 프렌드쇼어링(Friendshoring) 투자법</w:t>
      </w:r>
    </w:p>
    <w:p>
      <w:pPr>
        <w:spacing w:before="60" w:after="100" w:line="340"/>
      </w:pPr>
      <w:r>
        <w:rPr>
          <w:rFonts w:ascii="Arial" w:cs="Arial" w:eastAsia="Arial" w:hAnsi="Arial"/>
          <w:b w:val="false"/>
          <w:bCs w:val="false"/>
          <w:i w:val="false"/>
          <w:iCs w:val="false"/>
          <w:color w:val="000000"/>
          <w:sz w:val="21"/>
          <w:szCs w:val="21"/>
        </w:rPr>
        <w:t xml:space="preserve">'프렌드쇼어링'은 지정학적 동맹국 중심으로 공급망을 재편하는 트렌드입니다. 이 섹터에서 특히 중요한 이유는, 희토류·반도체 소재·배터리 광물·구리·은 모두가 중국 의존도가 높은 분야이기 때문입니다. 투자 전략으로 보면, '중국 외 공급자'에 프리미엄이 붙는 구조입니다. MP Materials의 주가가 300% 이상 상승한 것, Lynas가 249% 상승한 것은 모두 이 '프렌드쇼어링 프리미엄'을 반영합니다.</w:t>
      </w:r>
    </w:p>
    <w:p>
      <w:pPr>
        <w:spacing w:before="60" w:after="100" w:line="340"/>
      </w:pPr>
      <w:r>
        <w:rPr>
          <w:rFonts w:ascii="Arial" w:cs="Arial" w:eastAsia="Arial" w:hAnsi="Arial"/>
          <w:b w:val="false"/>
          <w:bCs w:val="false"/>
          <w:i w:val="false"/>
          <w:iCs w:val="false"/>
          <w:color w:val="000000"/>
          <w:sz w:val="21"/>
          <w:szCs w:val="21"/>
        </w:rPr>
        <w:t xml:space="preserve">한국은 HBM 시장 95% 점유로 '반도체 소재' 분야에서 프렌드쇼어링의 핵심 수혜국입니다. SK하이닉스의 HBM 독점에 따라 SK머티리얼즈, 동진쎄미켐, 하나머티리얼즈 등 소재 기업에 대한 전략적 가치가 재평가되고 있습니다. 또한 한국은 배터리 밸류체인에서도 양극재(포스코퓨처엠, 에코프로비엠), 음극재(포스코실리콘솔루션), 전해질(솔브레인) 등 핵심 소재를 보유하고 있어 '배터리 프렌드쇼어링'에서도 유리한 위치에 있습니다.</w:t>
      </w:r>
    </w:p>
    <w:p>
      <w:pPr>
        <w:spacing w:before="60" w:after="100" w:line="340"/>
      </w:pPr>
      <w:r>
        <w:rPr>
          <w:rFonts w:ascii="Arial" w:cs="Arial" w:eastAsia="Arial" w:hAnsi="Arial"/>
          <w:b w:val="false"/>
          <w:bCs w:val="false"/>
          <w:i w:val="false"/>
          <w:iCs w:val="false"/>
          <w:color w:val="000000"/>
          <w:sz w:val="21"/>
          <w:szCs w:val="21"/>
        </w:rPr>
        <w:t xml:space="preserve">프렌드쇼어링 투자의 핵심 원칙을 정리하면 이렇습니다. 첫째, '중국 외 유일한/최대 생산자'에 투자하라 — MP Materials(미국 유일 희토류), Lynas(중국 외 최대). 둘째, '동맹국 정부의 직접 지원을 받는 기업'에 투자하라 — 미국 국방부가 지분을 인수하거나, IRA/CHIPS법으로 보조금을 받는 기업. 셋째, '한국의 반도체·배터리 소재 국산화 기업'에 투자하라 — 일본·중국 의존도를 낮추는 과정에서 수혜를 받는 기업들입니다.</w:t>
      </w:r>
    </w:p>
    <w:p>
      <w:pPr>
        <w:pStyle w:val="Heading2"/>
        <w:spacing w:before="280" w:after="160"/>
      </w:pPr>
      <w:r>
        <w:rPr>
          <w:rFonts w:ascii="Arial" w:cs="Arial" w:eastAsia="Arial" w:hAnsi="Arial"/>
          <w:b/>
          <w:bCs/>
          <w:color w:val="2E75B6"/>
          <w:sz w:val="28"/>
          <w:szCs w:val="28"/>
        </w:rPr>
        <w:t xml:space="preserve">9-2. 재활용(Recycling) 섹터의 부상</w:t>
      </w:r>
    </w:p>
    <w:p>
      <w:pPr>
        <w:spacing w:before="60" w:after="100" w:line="340"/>
      </w:pPr>
      <w:r>
        <w:rPr>
          <w:rFonts w:ascii="Arial" w:cs="Arial" w:eastAsia="Arial" w:hAnsi="Arial"/>
          <w:b w:val="false"/>
          <w:bCs w:val="false"/>
          <w:i w:val="false"/>
          <w:iCs w:val="false"/>
          <w:color w:val="000000"/>
          <w:sz w:val="21"/>
          <w:szCs w:val="21"/>
        </w:rPr>
        <w:t xml:space="preserve">원자재의 구조적 공급 부족은 재활용 산업의 성장을 가속화하고 있습니다. 희토류 재활용은 현재 글로벌 공급량의 8~10%이나 2030년 15%로 확대 전망됩니다. 은의 경우 태양광 패널과 전자기기에서의 회수 기술이 발전하고 있으나 아직 공급의 20% 미만입니다. 구리는 재활용률이 가장 높은 금속 중 하나로(약 30%), 데이터센터의 지속가능성 목표와 맞물려 수요가 증가하고 있습니다.</w:t>
      </w:r>
    </w:p>
    <w:p>
      <w:pPr>
        <w:spacing w:before="60" w:after="100" w:line="340"/>
      </w:pPr>
      <w:r>
        <w:rPr>
          <w:rFonts w:ascii="Arial" w:cs="Arial" w:eastAsia="Arial" w:hAnsi="Arial"/>
          <w:b w:val="false"/>
          <w:bCs w:val="false"/>
          <w:i w:val="false"/>
          <w:iCs w:val="false"/>
          <w:color w:val="000000"/>
          <w:sz w:val="21"/>
          <w:szCs w:val="21"/>
        </w:rPr>
        <w:t xml:space="preserve">폐배터리에서 리튬·니켈·코발트를 회수하는 '블랙매스(Black Mass)' 시장이 빠르게 성장하고 있으며, 한국의 에코프로비엠, 성일하이텍 등이 이 분야에서 활발히 투자하고 있습니다. 재활용 섹터는 '공급망 리스크 헤지'와 'ESG 투자' 두 가지를 모두 충족하는 유망 투자처입니다.</w:t>
      </w:r>
    </w:p>
    <w:p>
      <w:pPr>
        <w:spacing w:before="60" w:after="100" w:line="340"/>
      </w:pPr>
      <w:r>
        <w:rPr>
          <w:rFonts w:ascii="Arial" w:cs="Arial" w:eastAsia="Arial" w:hAnsi="Arial"/>
          <w:b w:val="false"/>
          <w:bCs w:val="false"/>
          <w:i w:val="false"/>
          <w:iCs w:val="false"/>
          <w:color w:val="000000"/>
          <w:sz w:val="21"/>
          <w:szCs w:val="21"/>
        </w:rPr>
        <w:t xml:space="preserve">은의 재활용에서도 새로운 움직임이 있습니다. 태양광 패널의 수명이 25~30년인 점을 감안하면, 2000년대 초반 설치된 1세대 태양광 패널들이 2025~2030년 사이에 대량 폐기되기 시작합니다. 이 패널에서 은을 회수하는 '도시 광산(Urban Mining)' 기술이 상업화 단계에 진입하고 있습니다. 다만 현재는 총 공급의 20% 미만으로, 신규 채굴 수요를 대체하기에는 턱없이 부족한 상황입니다. 구리 재활용은 약 30%로 금속 중 가장 높은 수준이며, 데이터센터 운영사들이 ESG 목표 달성을 위해 재활용 구리 사용 비중을 늘리고 있습니다.</w:t>
      </w:r>
    </w:p>
    <w:p>
      <w:pPr>
        <w:pStyle w:val="Heading2"/>
        <w:spacing w:before="280" w:after="160"/>
      </w:pPr>
      <w:r>
        <w:rPr>
          <w:rFonts w:ascii="Arial" w:cs="Arial" w:eastAsia="Arial" w:hAnsi="Arial"/>
          <w:b/>
          <w:bCs/>
          <w:color w:val="2E75B6"/>
          <w:sz w:val="28"/>
          <w:szCs w:val="28"/>
        </w:rPr>
        <w:t xml:space="preserve">9-3. 한국 투자자를 위한 원자재별 핵심 수혜주 종합</w:t>
      </w:r>
    </w:p>
    <w:p>
      <w:pPr>
        <w:spacing w:before="60" w:after="100" w:line="340"/>
      </w:pPr>
      <w:r>
        <w:rPr>
          <w:rFonts w:ascii="Arial" w:cs="Arial" w:eastAsia="Arial" w:hAnsi="Arial"/>
          <w:b w:val="false"/>
          <w:bCs w:val="false"/>
          <w:i w:val="false"/>
          <w:iCs w:val="false"/>
          <w:color w:val="000000"/>
          <w:sz w:val="21"/>
          <w:szCs w:val="21"/>
        </w:rPr>
        <w:t xml:space="preserve">한국 시장에서 원자재 섹터에 투자할 때 가장 현실적인 경로를 정리합니다. 금·은·구리·알루미늄은 국내 직접 채굴 기업이 없으므로, 해외 ETF(GLD, SLV, COPX, REMX 등)와 국내 가공·부품주를 조합하는 '바벨 전략'이 유효합니다. 반도체 소재는 동진쎄미켐(포토레지스트 국산화), SK머티리얼즈(HBM용 특수가스), 하나머티리얼즈(SiC 링), 솔브레인(식각액)이 핵심입니다. 배터리 광물은 포스코퓨처엠(양극재+리사이클링), 에코프로비엠(하이니켈), 엘앤에프(NCA)가 대장주이며, 희토류는 성림첨단산업이 유일한 순수주입니다. 전선·케이블은 LS전선과 대한전선이 구리 가격 상승의 직접 수혜를 받습니다.</w:t>
      </w:r>
    </w:p>
    <w:p>
      <w:pPr>
        <w:spacing w:before="60" w:after="100" w:line="340"/>
      </w:pPr>
      <w:r>
        <w:rPr>
          <w:rFonts w:ascii="Arial" w:cs="Arial" w:eastAsia="Arial" w:hAnsi="Arial"/>
          <w:b w:val="false"/>
          <w:bCs w:val="false"/>
          <w:i w:val="false"/>
          <w:iCs w:val="false"/>
          <w:color w:val="000000"/>
          <w:sz w:val="21"/>
          <w:szCs w:val="21"/>
        </w:rPr>
        <w:t xml:space="preserve">위험 요인도 분명히 존재합니다. 첫째, 글로벌 경기 침체 시 산업용 금속(구리·은·알루미늄) 수요가 단기적으로 위축될 수 있습니다. 둘째, 중국이 수출 통제를 완화하면 희토류 가격이 급락할 수 있습니다. 셋째, 금은 실질금리가 반등하면 하락 압력을 받습니다. 넷째, 기술 혁신(은 사용량 절감, 희토류 프리 모터 등)이 예상보다 빨리 진행되면 수요 전망이 하향될 수 있습니다. 다만 이러한 위험 요인들은 대부분 단기적이며, 구조적 공급 부족이라는 장기 트렌드를 뒤집기에는 역부족입니다.</w:t>
      </w:r>
    </w:p>
    <w:p>
      <w:r>
        <w:br w:type="page"/>
      </w:r>
    </w:p>
    <w:p>
      <w:pPr>
        <w:pStyle w:val="Heading1"/>
        <w:spacing w:before="360" w:after="200"/>
      </w:pPr>
      <w:r>
        <w:rPr>
          <w:rFonts w:ascii="Arial" w:cs="Arial" w:eastAsia="Arial" w:hAnsi="Arial"/>
          <w:b/>
          <w:bCs/>
          <w:color w:val="1B365D"/>
          <w:sz w:val="36"/>
          <w:szCs w:val="36"/>
        </w:rPr>
        <w:t xml:space="preserve">10. 결론: 원자재를 장악하는 자가 AI 시대를 장악한다</w:t>
      </w:r>
    </w:p>
    <w:p>
      <w:pPr>
        <w:spacing w:before="60" w:after="100" w:line="340"/>
      </w:pPr>
      <w:r>
        <w:rPr>
          <w:rFonts w:ascii="Arial" w:cs="Arial" w:eastAsia="Arial" w:hAnsi="Arial"/>
          <w:b w:val="false"/>
          <w:bCs w:val="false"/>
          <w:i w:val="false"/>
          <w:iCs w:val="false"/>
          <w:color w:val="000000"/>
          <w:sz w:val="21"/>
          <w:szCs w:val="21"/>
        </w:rPr>
        <w:t xml:space="preserve">2025년은 원자재 투자의 '대각성'의 해였습니다. 금은 55% 상승하며 $4,000을 넘었고, 은은 147% 폭등했으며, 구리는 사상 최고치를 경신했고, 희토류 기업들은 200~300% 이상 급등했습니다. ETF 시장에서도 상위 20개 ETF 중 절반 이상이 귀금속과 광산주 ETF였습니다. 이 모든 것의 공통분모는 두 가지입니다: AI 인프라 수요의 구조적 폭발, 그리고 지정학적 공급망 재편.</w:t>
      </w:r>
    </w:p>
    <w:p>
      <w:pPr>
        <w:spacing w:before="60" w:after="100" w:line="340"/>
      </w:pPr>
      <w:r>
        <w:rPr>
          <w:rFonts w:ascii="Arial" w:cs="Arial" w:eastAsia="Arial" w:hAnsi="Arial"/>
          <w:b w:val="false"/>
          <w:bCs w:val="false"/>
          <w:i w:val="false"/>
          <w:iCs w:val="false"/>
          <w:color w:val="000000"/>
          <w:sz w:val="21"/>
          <w:szCs w:val="21"/>
        </w:rPr>
        <w:t xml:space="preserve">"전쟁에서 화약을 만드는 자가 승리하는 것이 아니라, 화약의 원료를 통제하는 자가 승리한다." 이 논리가 AI 시대에도 정확히 적용됩니다. 영구자석 없이는 로봇 모터가 돌아가지 않고, 구리 없이는 데이터센터가 전기를 전달하지 못하며, 은 없이는 태양광과 서버 커넥터가 만들어지지 않습니다. 금은 이 모든 불확실성의 시대에 '최후의 가치 저장 수단'으로 기능합니다.</w:t>
      </w:r>
    </w:p>
    <w:p>
      <w:pPr>
        <w:spacing w:before="60" w:after="100" w:line="340"/>
      </w:pPr>
      <w:r>
        <w:rPr>
          <w:rFonts w:ascii="Arial" w:cs="Arial" w:eastAsia="Arial" w:hAnsi="Arial"/>
          <w:b w:val="false"/>
          <w:bCs w:val="false"/>
          <w:i w:val="false"/>
          <w:iCs w:val="false"/>
          <w:color w:val="000000"/>
          <w:sz w:val="21"/>
          <w:szCs w:val="21"/>
        </w:rPr>
        <w:t xml:space="preserve">2026년에 주목해야 할 핵심 카탈리스트를 정리합니다. 금은 연준의 추가 금리 인하와 중앙은행 매수 지속($5,000 터치 가능성), 은은 중국 수출 라이선스 제도의 실질적 영향과 태양광·AI 수요 지속(사상 최고가 경신 가능), 구리는 Grasberg 생산 차질과 2026년 정제 적자 33만 톤(가격 $12,000~13,000 전망), 알루미늄은 CBAM 시행에 따른 저탄소 프리미엄 형성(가격 $3,000 돌파 전망), 희토류는 중국 수출통제의 장기화와 휴머노이드 로봇 양산 본격화(MP·Lynas 추가 상승 가능)입니다.</w:t>
      </w:r>
    </w:p>
    <w:p>
      <w:pPr>
        <w:spacing w:before="60" w:after="100" w:line="340"/>
      </w:pPr>
      <w:r>
        <w:rPr>
          <w:rFonts w:ascii="Arial" w:cs="Arial" w:eastAsia="Arial" w:hAnsi="Arial"/>
          <w:b w:val="false"/>
          <w:bCs w:val="false"/>
          <w:i w:val="false"/>
          <w:iCs w:val="false"/>
          <w:color w:val="000000"/>
          <w:sz w:val="21"/>
          <w:szCs w:val="21"/>
        </w:rPr>
        <w:t xml:space="preserve">이 섹터의 투자 전략은 명확합니다:</w:t>
      </w:r>
    </w:p>
    <w:p>
      <w:pPr>
        <w:pStyle w:val="ListParagraph"/>
        <w:numPr>
          <w:ilvl w:val="0"/>
          <w:numId w:val="2"/>
        </w:numPr>
        <w:spacing w:before="40" w:after="40" w:line="320"/>
      </w:pPr>
      <w:r>
        <w:rPr>
          <w:rFonts w:ascii="Arial" w:cs="Arial" w:eastAsia="Arial" w:hAnsi="Arial"/>
          <w:sz w:val="21"/>
          <w:szCs w:val="21"/>
        </w:rPr>
        <w:t xml:space="preserve">단기: NdPr(네오디뮴-프라세오디뮴)·금·은 가격 상승 수혜주 + 한국 반도체 소재 국산화 수혜주</w:t>
      </w:r>
    </w:p>
    <w:p>
      <w:pPr>
        <w:pStyle w:val="ListParagraph"/>
        <w:numPr>
          <w:ilvl w:val="0"/>
          <w:numId w:val="2"/>
        </w:numPr>
        <w:spacing w:before="40" w:after="40" w:line="320"/>
      </w:pPr>
      <w:r>
        <w:rPr>
          <w:rFonts w:ascii="Arial" w:cs="Arial" w:eastAsia="Arial" w:hAnsi="Arial"/>
          <w:sz w:val="21"/>
          <w:szCs w:val="21"/>
        </w:rPr>
        <w:t xml:space="preserve">중기: 휴머노이드 로봇 양산 확대에 따른 희토류·구리 수요 급증 + AI 데이터센터 구리·은 수요의 구조적 적자 심화</w:t>
      </w:r>
    </w:p>
    <w:p>
      <w:pPr>
        <w:pStyle w:val="ListParagraph"/>
        <w:numPr>
          <w:ilvl w:val="0"/>
          <w:numId w:val="2"/>
        </w:numPr>
        <w:spacing w:before="40" w:after="40" w:line="320"/>
      </w:pPr>
      <w:r>
        <w:rPr>
          <w:rFonts w:ascii="Arial" w:cs="Arial" w:eastAsia="Arial" w:hAnsi="Arial"/>
          <w:sz w:val="21"/>
          <w:szCs w:val="21"/>
        </w:rPr>
        <w:t xml:space="preserve">장기: 재활용 기술 혁신 + 전고체 배터리 상용화 + 프렌드쇼어링 공급망 완성</w:t>
      </w:r>
    </w:p>
    <w:p>
      <w:pPr>
        <w:spacing w:before="60" w:after="100" w:line="340"/>
      </w:pPr>
      <w:r>
        <w:rPr>
          <w:rFonts w:ascii="Arial" w:cs="Arial" w:eastAsia="Arial" w:hAnsi="Arial"/>
          <w:b w:val="false"/>
          <w:bCs w:val="false"/>
          <w:i w:val="false"/>
          <w:iCs w:val="false"/>
          <w:color w:val="000000"/>
          <w:sz w:val="21"/>
          <w:szCs w:val="21"/>
        </w:rPr>
        <w:t xml:space="preserve"/>
      </w:r>
    </w:p>
    <w:p>
      <w:pPr>
        <w:spacing w:before="60" w:after="100" w:line="340"/>
      </w:pPr>
      <w:r>
        <w:rPr>
          <w:rFonts w:ascii="Arial" w:cs="Arial" w:eastAsia="Arial" w:hAnsi="Arial"/>
          <w:b/>
          <w:bCs/>
          <w:i w:val="false"/>
          <w:iCs w:val="false"/>
          <w:color w:val="000000"/>
          <w:sz w:val="21"/>
          <w:szCs w:val="21"/>
        </w:rPr>
        <w:t xml:space="preserve">'골격'을 이해해야, 그 위의 모든 산업의 성장과 리스크를 정확히 읽을 수 있습니다. 이것이 Sector 0을 가장 먼저, 그리고 가장 깊이 분석해야 하는 이유입니다.</w:t>
      </w:r>
    </w:p>
    <w:p>
      <w:pPr>
        <w:pBdr>
          <w:bottom w:val="single" w:color="2E75B6" w:sz="4" w:space="1"/>
        </w:pBdr>
        <w:spacing w:before="200" w:after="200"/>
      </w:pPr>
      <w:r>
        <w:rPr>
          <w:rFonts w:ascii="Arial" w:cs="Arial" w:eastAsia="Arial" w:hAnsi="Arial"/>
          <w:sz w:val="2"/>
          <w:szCs w:val="2"/>
        </w:rPr>
        <w:t xml:space="preserve"/>
      </w:r>
    </w:p>
    <w:p>
      <w:pPr>
        <w:spacing w:before="60" w:after="100" w:line="340"/>
      </w:pPr>
      <w:r>
        <w:rPr>
          <w:rFonts w:ascii="Arial" w:cs="Arial" w:eastAsia="Arial" w:hAnsi="Arial"/>
          <w:b w:val="false"/>
          <w:bCs w:val="false"/>
          <w:i/>
          <w:iCs/>
          <w:color w:val="666666"/>
          <w:sz w:val="21"/>
          <w:szCs w:val="21"/>
        </w:rPr>
        <w:t xml:space="preserve">— 머니메이커스 (C) 2026  |  'AI 문명전환 투자 산업지도' 시리즈</w:t>
      </w:r>
    </w:p>
    <w:p>
      <w:pPr>
        <w:spacing w:before="60" w:after="100" w:line="340"/>
      </w:pPr>
      <w:r>
        <w:rPr>
          <w:rFonts w:ascii="Arial" w:cs="Arial" w:eastAsia="Arial" w:hAnsi="Arial"/>
          <w:b w:val="false"/>
          <w:bCs w:val="false"/>
          <w:i/>
          <w:iCs/>
          <w:color w:val="666666"/>
          <w:sz w:val="21"/>
          <w:szCs w:val="21"/>
        </w:rPr>
        <w:t xml:space="preserve">본 보고서는 투자 자문이 아니며 투자 판단의 참고자료로만 활용하십시오.</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MoneyMakers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AI 문명전환 투자 산업지도  |  </w:t>
    </w:r>
    <w:r>
      <w:rPr>
        <w:rFonts w:ascii="Arial" w:cs="Arial" w:eastAsia="Arial" w:hAnsi="Arial"/>
        <w:b/>
        <w:bCs/>
        <w:color w:val="2E75B6"/>
        <w:sz w:val="16"/>
        <w:szCs w:val="16"/>
      </w:rPr>
      <w:t xml:space="preserve">SECTOR 0: 골격(원자재) — 확장판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B365D"/>
      <w:sz w:val="36"/>
      <w:szCs w:val="36"/>
    </w:rPr>
  </w:style>
  <w:style w:type="paragraph" w:styleId="Heading2">
    <w:name w:val="Heading 2"/>
    <w:basedOn w:val="Normal"/>
    <w:next w:val="Normal"/>
    <w:qFormat/>
    <w:pPr>
      <w:spacing w:before="280" w:after="16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2026-02-17T16:13:31.848Z</dcterms:created>
  <dcterms:modified xsi:type="dcterms:W3CDTF">2026-02-17T16:13:31.849Z</dcterms:modified>
</cp:coreProperties>
</file>

<file path=docProps/custom.xml><?xml version="1.0" encoding="utf-8"?>
<Properties xmlns="http://schemas.openxmlformats.org/officeDocument/2006/custom-properties" xmlns:vt="http://schemas.openxmlformats.org/officeDocument/2006/docPropsVTypes"/>
</file>