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3E97" w:rsidRDefault="00613E97" w:rsidP="00F3770B">
      <w:pPr>
        <w:pStyle w:val="font-claude-response-body"/>
        <w:jc w:val="center"/>
        <w:rPr>
          <w:rStyle w:val="a3"/>
          <w:rFonts w:ascii="Pretendard ExtraBold" w:eastAsia="Pretendard ExtraBold" w:hAnsi="Pretendard ExtraBold"/>
          <w:sz w:val="32"/>
        </w:rPr>
      </w:pPr>
      <w:r w:rsidRPr="00F3770B">
        <w:rPr>
          <w:rStyle w:val="a3"/>
          <w:rFonts w:ascii="Pretendard ExtraBold" w:eastAsia="Pretendard ExtraBold" w:hAnsi="Pretendard ExtraBold"/>
          <w:sz w:val="32"/>
        </w:rPr>
        <w:t>AI 문명전환 투자 산업지도 — Sector 1: AI 반도체</w:t>
      </w:r>
    </w:p>
    <w:p w:rsidR="00F3770B" w:rsidRPr="00F3770B" w:rsidRDefault="00F3770B" w:rsidP="00F3770B">
      <w:pPr>
        <w:pStyle w:val="font-claude-response-body"/>
        <w:jc w:val="center"/>
        <w:rPr>
          <w:rFonts w:ascii="Pretendard ExtraBold" w:eastAsia="Pretendard ExtraBold" w:hAnsi="Pretendard ExtraBold" w:hint="eastAsia"/>
          <w:sz w:val="32"/>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Part 1. 용어 사전 + 왜 지금 AI 반도체인가</w:t>
      </w:r>
    </w:p>
    <w:p w:rsidR="00613E97" w:rsidRPr="00F3770B" w:rsidRDefault="00613E97" w:rsidP="00613E97">
      <w:pPr>
        <w:pStyle w:val="font-claude-response-body"/>
        <w:rPr>
          <w:rFonts w:ascii="Pretendard Medium" w:eastAsia="Pretendard Medium" w:hAnsi="Pretendard Medium"/>
          <w:sz w:val="28"/>
        </w:rPr>
      </w:pPr>
      <w:r w:rsidRPr="00F3770B">
        <w:rPr>
          <w:rFonts w:ascii="맑은 고딕" w:eastAsia="맑은 고딕" w:hAnsi="맑은 고딕" w:cs="맑은 고딕" w:hint="eastAsia"/>
          <w:sz w:val="28"/>
        </w:rPr>
        <w:t>━━━━━━━━━━━━━━━━━━━━━━━━━━━</w:t>
      </w:r>
    </w:p>
    <w:p w:rsidR="00613E97" w:rsidRDefault="00613E97" w:rsidP="00613E97">
      <w:pPr>
        <w:pStyle w:val="font-claude-response-body"/>
        <w:rPr>
          <w:rStyle w:val="a3"/>
          <w:rFonts w:ascii="Pretendard Medium" w:eastAsia="Pretendard Medium" w:hAnsi="Pretendard Medium"/>
          <w:sz w:val="28"/>
        </w:rPr>
      </w:pPr>
      <w:r w:rsidRPr="00F3770B">
        <w:rPr>
          <w:rStyle w:val="a3"/>
          <w:rFonts w:ascii="Pretendard Medium" w:eastAsia="Pretendard Medium" w:hAnsi="Pretendard Medium"/>
          <w:sz w:val="28"/>
        </w:rPr>
        <w:t>(1) 기본 용어 — 이것만 알면 보고서가 읽힌다</w:t>
      </w:r>
    </w:p>
    <w:p w:rsidR="00F3770B" w:rsidRPr="00F3770B" w:rsidRDefault="00F3770B" w:rsidP="00613E97">
      <w:pPr>
        <w:pStyle w:val="font-claude-response-body"/>
        <w:rPr>
          <w:rFonts w:ascii="Pretendard Medium" w:eastAsia="Pretendard Medium" w:hAnsi="Pretendard Medium" w:hint="eastAsia"/>
          <w:sz w:val="28"/>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단위</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nm (나노미터)</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10억 분의 1미터. 반도체 회로의 선폭을 나타내는 단위다. 숫자가 작을수록 더 정밀하고, 같은 면적에 더 많은 트랜지스터를 넣을 수 있어 성능이 올라간다. 머리카락 굵기가 약 8만nm인데, 최신 2nm 공정은 그걸 4만 등분한 수준의 정밀도다. 7nm, 5nm, 3nm, 2nm 순서로 숫자가 작아질수록 첨단 공정이다. 현재 양산 가능한 최첨단은 TSMC와 삼성전자의 2nm 공정이다.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TB/s (테라바이트 퍼 세컨드)</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1초에 데이터가 이동하는 양을 나타내는 단위다. 반도체에서는 주로 메모리와 GPU 사이의 데이터 전송 속도를 표현할 때 쓴다. 1TB/s면 넷플릭스 4K 영화 약 200편을 1초에 전송할 수 있는 속도다. AI 반도체에서 이 숫자가 중요한 이유는, GPU가 아무리 빠르게 연산해도 데이터를 읽어오는 속도가 느리면 GPU가 놀기 때문이다. 최신 HBM4 메모리의 대역폭이 약 2.8TB/s, 엔비디아 루빈 GPU의 메모리 대역폭이 22TB/s다.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TOPS (테라 오퍼레이션스 퍼 세컨드)</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1초에 수행하는 연산 횟수를 조(</w:t>
      </w:r>
      <w:r w:rsidRPr="00F3770B">
        <w:rPr>
          <w:rFonts w:ascii="맑은 고딕" w:eastAsia="맑은 고딕" w:hAnsi="맑은 고딕" w:cs="맑은 고딕" w:hint="eastAsia"/>
        </w:rPr>
        <w:t>兆</w:t>
      </w:r>
      <w:r w:rsidRPr="00F3770B">
        <w:rPr>
          <w:rFonts w:ascii="Pretendard Medium" w:eastAsia="Pretendard Medium" w:hAnsi="Pretendard Medium"/>
        </w:rPr>
        <w:t>) 단위로 표시한 것이다. 주로 추론(Inference) 칩의 성능을 나타낼 때 쓴다. 스마트폰이나 노트북에 들어가는 AI 칩 성능을 비교할 때 "몇 TOPS"라고 표현하는데, 숫자가 클수록 AI 연산을 빠르게 처리한다.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FLOPS (플롭스, Floating Point Operations Per Second)</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1초에 수행하는 부동소수점 연산 횟수다. AI 모델의 학습(Training) 성능을 비교하는 핵심 지표다. TOPS가 정수 연산 위주라면, FLOPS는 소수점이 있는 정밀한 계산 위주다. AI 학습은 소수점 계산이 대량으로 필요하기 때문에 GPU 성능을 FLOPS로 표시한다. 단위가 커지면 페타FLOPS(1,000조 FLOPS), 엑사FLOPS(100경 FLOPS)로 올라간다. 엔비디아 루빈 GPU 1개의 추론 성능이 약 50 페타FLOPS, NVL72 랙 전체가 3,600 페타FLOPS(3.6 엑사FLOPS)다.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밸류체인 용어</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전공정 (Front-End)</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실리콘 웨이퍼 위에 회로를 새기는 과정이다. 반도체의 "두뇌"를 만드는 단계라고 보면 된다. 크게 세 가지 공정으로 나뉜다. 노광(빛으로 회로 패턴을 새기기), 식각(불필요한 부분을 깎아내기), 증착(원하는 물질의 박막을 입히기). 이 과정에서 회로 선폭이 얼마나 가느냐가 곧 반도체의 세대를 결정한다. 과거에는 전공정이 반도체 산업의 전부라고 해도 과언이 아니었다. 전공정 장비를 만드는 대표 기업이 ASML(노광), 도쿄일렉트론(코터), Applied Materials(식각/증착), Lam Research(식각)다.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후공정 (Back-End)</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전공정에서 완성된 웨이퍼를 칩 단위로 잘라서, 테스트하고, 기판 위에 올려서 외부와 연결할 수 있게 포장하는 과정이다. 과거에는 단순 조립으로 여겨져 부가가치가 낮았다. 그런데 AI 시대에 들어서면서 상황이 완전히 바뀌었다. 칩을 옆으로 붙이거나(2.5D), 위아래로 쌓는(3D) 첨단 패키징 기술이 핵심이 되면서, 후공정의 기술 난이도와 부가가치가 급등했다. "칩을 잘 깎는 것"만큼 "칩을 잘 포장하는 것"이 돈이 되는 시대가 열린 것이다. 한미반도체, 이오테크닉스, 테크윙 같은 한국 후공정 장비주가 주목받는 이유가 여기 있다.</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패키징 (Packaging)</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완성된 칩을 외부 회로와 연결하고 보호하는 기술이다. 전통적 패키징은 단순히 칩을 기판에 붙이고 납땜하는 수준이었지만, 첨단 패키징은 완전히 다르다. 2.5D 패키징은 실리콘 인터포저(중간 다리 역할의 판) 위에 GPU, HBM 등 여러 칩을 나란히 올리는 방식이다. TSMC의 CoWoS가 대표적이다. 3D 패키징은 칩을 위아래로 쌓는 방식이다. HBM이 DRAM을 12~16단 쌓는 것이 3D 패키징의 대표 사례다. 레고 블록을 옆으로 붙이면 2.5D, 위로 쌓으면 3D라고 이해하면 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파운드리 (Foundry)</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반도체 위탁 생산 공장이다. 설계 회사(팹리스)가 그린 도면을 받아서 실제 칩으로 찍어내는 곳이다. 엔비디아가 GPU를 설계하면, TSMC가 그걸 실제로 만들어주는 구조다. TSMC가 세계 1위로 파운드리 시장 점유율 약 72%를 차지하고, 첨단 AI 칩 분야에서는 90% 이상이다. 삼성전자가 2위, 인텔이 3위로 진입을 시도하고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EDA (Electronic Design Automation)</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반도체 설계용 소프트웨어다. 최신 AI 칩에는 트랜지스터가 수천억 개 들어가는데, 이걸 사람이 손으로 배치할 수 없으니 소프트웨어가 대신한다. 건축의 CAD 프로그램과 비슷한 역할이다. 시놉시스(Synopsys), 케이던스(Cadence), 지멘스 EDA(구 멘토그래픽스) 3사가 전 세계 시장의 80% 이상을 과점하고 있다. 이 소프트웨어 없이는 반도체를 설계할 수 없으므로 진입장벽이 극히 높다.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OSAT (Outsourced Semiconductor Assembly and Test)</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후공정만 전문으로 하는 외주 업체다. 칩을 자르고, 기판에 붙이고, 검사하는 일을 대행한다. 대만의 ASE, 미국의 앰코(Amkor)가 글로벌 양대 업체다. 최근에는 첨단 패키징의 중요성이 커지면서 OSAT의 기술 수준과 투자 규모도 급격히 올라가고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팹리스 (Fabless)</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공장 없이 반도체를 설계만 하는 회사다. 설계한 칩은 파운드리(TSMC 등)에 맡겨서 생산한다. 엔비디아, AMD, 퀄컴, 브로드컴이 대표적이다. 공장을 소유하지 않으니 설비투자 부담이 적고, 설계에 집중할 수 있다는 장점이 있다. 반면 파운드리의 생산 일정에 의존해야 하고, TSMC 라인이 밀리면 칩을 제때 못 받는 리스크가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IDM (Integrated Device Manufacturer)</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설계부터 생산, 패키징까지 전부 자체적으로 하는 회사다. 삼성전자, SK하이닉스, 인텔, 마이크론이 대표적이다. 모든 공정을 직접 통제할 수 있어 품질 관리와 원가 최적화에 유리하지만, 공장 건설과 유지에 천문학적 자금이 들어간다. 삼성전자와 SK하이닉스의 2026년 합산 설비투자 전망이 70조 원이다.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기술 용어</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EUV (Extreme Ultraviolet, 극자외선)</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파장 13.5nm의 극자외선을 이용해 반도체 회로를 새기는 노광 기술이다. 7nm 이하 첨단 공정에서 필수적으로 사용된다. 이 장비를 만들 수 있는 회사는 전 세계에서 네덜란드의 ASML 단 한 곳뿐이다. 장비 1대 가격이 약 2,000억 원이고, 최신형(High-NA EUV)은 약 4,000억 원에 달한다. 돈이 있어도 바로 살 수 없다. 생산 대수가 연간 수십 대 수준이라 TSMC, 삼성, 인텔이 물량을 미리 선점하고 있다. ASML이 납품을 멈추면 첨단 반도체를 만들 수 있는 나라가 사라진다. 중국이 EUV 장비를 수입하지 못하도록 미국과 네덜란드가 수출을 통제하고 있는 이유가 이것이다.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GAA (Gate-All-Around)</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트랜지스터의 게이트(전류를 제어하는 문)가 채널을 360도 감싸는 구조다. 기존 핀펫(FinFET)이 채널의 3면만 감쌌다면, GAA는 4면 전부를 감싸서 전류 누설을 최소화한다. 핀펫이 3면만 막은 "ㄷ자 울타리"라면, GAA는 완전히 둘러싸는 "터널"이다. 2nm 이하 공정에서 필수 기술이며, 삼성전자가 세계 최초로 GAA 기반 양산(3nm)에 성공했다. GAA 전환은 완전히 다른 장비와 소재를 필요로 하기 때문에, ALD 장비(주성엔지니어링), 블랭크마스크, 펠리클, 특수가스 관련 기업들의 수혜로 이어진다.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HBM (High Bandwidth Memory, 고대역폭메모리)</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DRAM 칩을 수직으로 여러 단 쌓아 올려서 데이터 전송 대역폭을 극대화한 메모리다. AI GPU의 필수 부품이다. 일반 DDR5 DRAM이 왕복 1차선 도로라면, HBM은 수십 차선 고속도로다. 현재 세대별로 HBM3(12단 적층, 약 0.8TB/s), HBM3E(12단, 약 1.2TB/s), HBM4(16단, 약 2.8TB/s)로 진화하고 있다. SK하이닉스가 시장 점유율 약 50%로 1위, 삼성전자 28%, 마이크론 22% 순이다(트렌드포스 2026년 전망). BofA 기준 2026년 HBM 시장 규모는 약 546억 달러(약 73조 원)로 전년 대비 58% 성장이 전망된다.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CoWoS (Chip on Wafer on Substrate)</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TSMC의 2.5D 첨단 패키징 기술이다. 실리콘 인터포저라는 중간 판 위에 GPU와 HBM을 나란히 올려서 하나의 패키지로 만든다. 엔비디아의 AI GPU는 전부 CoWoS로 패키징된다. 문제는 TSMC의 CoWoS 생산 능력이 AI 칩 수요를 따라가지 못하고 있다는 점이다. 이 "CoWoS 병목"이 AI 반도체 공급 부족의 핵심 원인 중 하나다. TSMC가 CoWoS 월 생산능력을 2023년 말 1.5만 장에서 2024년 말 3.5만 장으로 늘렸지만 여전히 부족한 상황이다.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CUDA (Compute Unified Device Architecture)</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엔비디아가 만든 GPU 프로그래밍 플랫폼이다. AI 개발자 대부분이 CUDA 위에서 코드를 짠다. 전 세계 500만 명 이상의 개발자, 수만 개의 AI 라이브러리가 CUDA 기반으로 돌아간다. 반도체의 "윈도우 운영체제"라고 보면 된다. 경쟁사 GPU가 하드웨어 성능에서 엔비디아를 따라잡더라도, 이 소프트웨어 생태계를 뛰어넘기가 극히 어렵다. AMD가 오픈소스 기반 ROCm으로 도전하고 있지만, CUDA 생태계의 락인(Lock-in) 효과가 엔비디아 독점의 핵심 방어벽이다.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NVLink</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엔비디아의 GPU 간 초고속 연결 기술이다. 여러 GPU를 하나의 거대한 GPU처럼 작동시킨다. 최신 NVLink 6은 GPU당 3.6TB/s 양방향 대역폭을 제공한다. 블랙웰 대비 </w:t>
      </w:r>
      <w:r w:rsidRPr="00F3770B">
        <w:rPr>
          <w:rFonts w:ascii="Pretendard Medium" w:eastAsia="Pretendard Medium" w:hAnsi="Pretendard Medium"/>
        </w:rPr>
        <w:lastRenderedPageBreak/>
        <w:t>2배다. NVL72 랙 안의 72개 GPU가 NVLink로 연결되면 합산 260TB/s의 대역폭이 확보된다. AI 모델이 커질수록 GPU 여러 개를 동시에 써야 하는데, GPU끼리 데이터를 주고받는 속도가 느리면 의미가 없다. NVLink는 이 병목을 해결하는 기술이다.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CPO (Co-Packaged Optics, 코패키지드 옵틱스)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광통신 모듈을 스위치 칩 바로 옆에 붙여서 전기 신호를 빛으로 바꾸는 기술이다. 데이터 전송 거리가 길어질수록 전기 신호는 열과 손실이 커지는데, 빛으로 바꾸면 이 문제가 해결된다. 엔비디아 Vera Rubin 세대의 Spectrum-6 SPX 스위치에 처음으로 CPO가 적용됐다. 기존 대비 광학 전력 효율 5배, 네트워크 복원력 10배 개선이라고 엔비디아는 발표했다. 구리 전선이 "시내 도로"라면, CPO는 "광섬유 고속도로 IC 진입로"에 해당한다.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실리콘 포토닉스 (Silicon Photonics)</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실리콘 칩 위에서 빛을 이용해 데이터를 전송하는 기술이다. 전기 배선의 물리적 한계(발열, 신호 손실, 대역폭 제한)를 근본적으로 극복하는 차세대 핵심 기술이다. CPO가 스위치 단에서 빛으로 바꾸는 것이라면, 실리콘 포토닉스는 칩 내부까지 빛으로 통신하는 것이다. 2028년 파인만 아키텍처부터 칩 내부에까지 실리콘 포토닉스가 적용될 전망이다. 엔비디아가 루멘텀과 코히런트에 5.8조 원을 투자한 이유가 이 기술을 선점하기 위해서다.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ALD (Atomic Layer Deposition, 원자층 증착)</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원자 한 층씩 박막을 쌓는 초정밀 증착 기술이다. 기존 CVD(화학기상증착)가 "페인트 붓칠"이라면, ALD는 "타일 한 장씩 정확히 붙이기"다. GAA 구조에서 나노미터 단위의 균일한 박막이 필요해지면서 ALD 없이는 2nm 이하 칩을 만들 수 없게 됐다. 국내에서는 주성엔지니어링이 ALD 장비를 생산하며, GAA 전환의 직접 수혜주로 꼽힌다.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기업·시장 용어</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하이퍼스케일러 (Hyperscaler)</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초대형 데이터센터를 운영하는 빅테크 기업이다. 아마존(AWS), 마이크로소프트(Azure), 구글(GCP), 메타, 오라클이 대표적이다. AI 반도체의 최대 고객이자, AI 인프라 투자의 주체다. 이 기업들이 얼마를 쓰느냐가 곧 반도체 업계의 실적을 결정한다. 2026년 주요 5개 하이퍼스케일러의 합산 설비투자(CAPEX) 전망이 6,600억~6,900억 달러(약 940조~980조 원)다.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CAPEX (Capital Expenditure, 자본적 지출)</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설비투자 금액이다. 공장 건설, 장비 구매, 데이터센터 확장 등에 쓰는 돈이다. 하이퍼스케일러의 CAPEX가 늘어나면 GPU, HBM, 파운드리, 네트워킹 장비 주문이 늘어나고, 반도체 기업의 매출이 올라간다. 반대로 CAPEX가 줄어들면 반도체 업계 전체가 타격을 받는다. CAPEX 증감은 반도체 투자에서 가장 중요한 선행 지표 중 하나다.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커스텀 ASIC (Application-Specific Integrated Circuit)</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특정 용도에 맞게 주문 설계된 반도체다. "기성복"이 GPU라면, "맞춤 양복"이 커스텀 ASIC이다. 구글 TPU, 아마존 트레이니움(Trainium)/인퍼런티아(Inferentia), 메타 MTIA, 마이크로소프트 마이아(Maia)가 대표적이다. 범용 GPU 대비 특정 작업에서 전력 효율이 높고 비용이 낮지만, 범용성이 떨어진다. 하이퍼스케일러들이 엔비디아 의존도를 낮추기 위해 자체 ASIC 개발에 나서고 있으며, 이 칩 설계를 대행하는 브로드컴과 마벨이 수혜를 받고 있다. 트렌드포스에 따르면 2026년 커스텀 ASIC 출하량 성장률은 44.6%로, GPU 출하량 성장률(16.1%)을 크게 앞지른다.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Scaling Law (스케일링 법칙)</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AI 모델의 성능이 파라미터 수(모델 크기), 학습 데이터 양, 투입 연산량의 세 축에 따라 예측 가능하게 향상된다는 법칙이다. 2020년 OpenAI 연구진이 발견했다. 이 법칙이 존재하는 한, "더 큰 모델 = 더 많은 반도체"라는 등식이 유지된다. AI 기업들이 수천억 달러를 설비투자에 쏟아붓는 근거가 바로 이 법칙이다. 돈을 쓰면 쓸수록 AI가 똑똑해진다는 증거가 있으니 투자가 계속되는 구조다.</w:t>
      </w:r>
    </w:p>
    <w:p w:rsidR="00613E97" w:rsidRPr="00F3770B" w:rsidRDefault="00613E97" w:rsidP="00613E97">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(2) 왜 지금 AI 반도체인가</w:t>
      </w: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Scaling Law — 더 똑똑한 AI = 더 많은 반도체</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AI가 반도체를 이렇게 많이 먹는 이유를 이해하려면 Scaling Law부터 알아야 한다. 핵심은 단순하다. AI 모델의 성능은 세 가지를 키우면 예측 가능하게 좋아진다. 모델 크기(파라미터 수), 학습 데이터 양, 투입 연산량이다. 세 축 중 하나라도 부족하면 성능 향상이 멈춘다.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그런데 2024~2025년을 지나면서 이 법칙의 차원이 확장됐다. 기존에는 학습(Pre-training) 단계에서 모델을 키우는 게 전부였다면, 이제 세 갈래가 동시에 작동한다.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첫째, Pre-training Scaling이다. 모델 파라미터 수와 학습 데이터를 늘려서 기본 성능을 올리는 전통적 방식이다. GPT 시리즈가 이 방식으로 성장해왔다.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Post-training Scaling이다. 이미 학습된 모델을 RLHF(인간 피드백 강화학습), 파인튜닝, 합성 데이터 등으로 추가 훈련시켜 성능을 끌어올린다. 단순 텍스트 생성기였던 GPT가 "유용한 비서"로 진화한 것이 이 덕분이다.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셋째, Test-time Scaling(추론 시 연산 확장)이다. 모델이 답을 내기 전에 "더 오래 생각하게" 만드는 방식이다. OpenAI의 o1 모델이 이 방법을 처음 대중화했다. NVIDIA 블로그에 따르면 복잡한 추론 작업에서는 단일 추론 대비 100배 이상의 연산이 필요하지만, 정답률이 획기적으로 올라간다.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핵심은 이거다. 세 갈래가 동시에 작동하면서 AI가 소비하는 반도체의 총량이 어느 한 축만 성장하던 시절보다 훨씬 빠르게 늘어난다. 학습용 GPU도 필요하고, 추론용 GPU도 필요하고, 그 GPU를 먹여살릴 HBM과 전력도 필요하다.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Training vs Inference — 두 축 동시 폭발</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AI 반도체 수요는 크게 학습(Training)과 추론(Inference) 두 갈래로 나뉜다.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학습은 AI 모델을 "교육"시키는 과정이다. 수조 개의 텍스트, 이미지, 영상 데이터를 수만 개의 GPU에 쏟아부어 모델이 패턴을 익히게 만든다. GPT-4급 모델 하나를 학습시키는 데 수천만~수억 달러가 든다. 추론은 학습된 모델이 실제로 "일"하는 과정이다. ChatGPT에 질문을 던지면 답을 생성하는 것, 자율주행차가 도로 상황을 판단하는 것이 추론이다.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딜로이트에 따르면 2023년에는 전체 AI 연산 중 학습이 약 2/3, 추론이 약 1/3이었다. 2025년에는 절반씩이 됐고, 2026년에는 추론이 약 2/3로 역전될 전망이다. 추론 최적화 칩(ASIC) 시장도 2026년 500억 달러 이상으로 성장할 것으로 딜로이트는 보고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중요한 건 추론이 학습을 대체하는 게 아니라는 점이다. 둘 다 동시에 커진다. 학습은 더 큰 모델, 더 많은 데이터로 계속 확대되고, 추론은 사용자 수 폭발과 Test-time Scaling으로 연산량이 급증한다. 두 축이 동시에 폭발하면서 AI 반도체 총수요는 기하급수적으로 증가하고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하이퍼스케일러 CAPEX 군비경쟁 — 역사상 가장 큰 설비투자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AI 반도체 수요의 실체는 결국 "누가 돈을 쓰느냐"다. 답은 하이퍼스케일러다.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2024년 미국 주요 5개 하이퍼스케일러(아마존, 마이크로소프트, 구글, 메타, 오라클)의 합산 CAPEX는 약 2,560억 달러였다. CreditSights에 따르면 2025년에는 약 4,430억 달러로 73% 급증했고, 2026년에는 약 6,020억 달러에 달할 전망이다. 퓨처럼그룹(Futurum)은 2026년 전망을 6,600억~6,900억 달러로 더 높게 잡는다. 2년 만에 거의 3배로 뛴 것이다.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개별 기업으로 보면 규모감이 선명하다. 퓨처럼 기준 2026년 아마존 CAPEX 전망 약 2,000억 달러, 구글(알파벳) 1,750억~1,850억 달러, 메타 1,150억~1,350억 달러, 마이크로소프트 1,200억 달러 이상, 오라클 약 500억 달러다. 4개 기업이 각각 1,000억 달러(약 142조 원)를 넘는다.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이 중 약 75%가 AI 인프라에 투입된다. CreditSights에 따르면 2026년 AI 관련 CAPEX만 약 4,500억 달러(약 640조 원)에 달한다. 자본집약도(CAPEX/매출)도 전례가 없다. 오라클 57%, 마이크로소프트 45%다. 이건 기술 기업이 아니라 전력회사나 제철소 수준의 투자 비율이다. 골드만삭스는 2025~2027년 하이퍼스케일러 합산 CAPEX가 1조 1,500억 달러에 달할 것으로 전망했다. 2022~2024년 합산 4,770억 달러의 2배가 넘는다.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프로젝트 단위의 초대형 투자도 이어지고 있다. 2025년 1월 발표된 스타게이트(Stargate) 프로젝트가 대표적이다. OpenAI, 소프트뱅크, 오라클이 합작해 4년간 최대 5,000억 달러를 미국 내 AI 데이터센터 건설에 투자하겠다는 구상이다. 초기 1,000억 달러를 즉시 투입하겠다고 발표했고, 텍사스 애빌린에 1호 데이터센터가 가동 중이다. 다만 2026년 3월 </w:t>
      </w:r>
      <w:r w:rsidRPr="00F3770B">
        <w:rPr>
          <w:rFonts w:ascii="Pretendard Medium" w:eastAsia="Pretendard Medium" w:hAnsi="Pretendard Medium"/>
        </w:rPr>
        <w:lastRenderedPageBreak/>
        <w:t>현재, 파트너 간 역할 분담 갈등과 자금 조달 불확실성이 보도되고 있어 전체 계획의 완전한 이행 여부는 지켜볼 필요가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핵심은 이 모든 돈이 결국 GPU(엔비디아), HBM(SK하이닉스, 삼성전자, 마이크론), 파운드리(TSMC), 네트워킹 장비, 광통신, 전력 인프라로 흐른다는 것이다. 하이퍼스케일러의 CAPEX 증가율이 곧 반도체 기업의 매출 성장률을 결정하는 구조다. 그리고 하이퍼스케일러들이 하나같이 "수요가 부족한 게 아니라 공급이 못 따라간다(supply-constrained)"고 말하고 있다. 투자 확대의 천장이 아직 보이지 않는다는 뜻이다.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GTC 2026이 보여준 방향 — GPU 회사에서 AI 공장 회사로</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2026년 3월 16일, 젠슨 황 엔비디아 CEO가 GTC 2026에서 Vera Rubin 플랫폼을 발표했다. 이번 발표가 중요한 이유는 단순히 새 GPU가 나왔기 때문이 아니다. 엔비디아가 "GPU를 파는 회사"에서 "AI 공장 전체를 설계하고 파는 회사"로 완전히 전환했음을 공식적으로 선언한 자리였기 때문이다.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Vera Rubin 플랫폼에는 7개의 칩이 모두 양산에 들어갔다. 루빈 GPU(AI 학습/추론, TSMC 3nm, 3,360억 트랜지스터, HBM4 288GB), Vera CPU(AI 서버 범용, 88코어 ARM), Groq 3 LPU(초저지연 추론 전용), NVLink 6 Switch(GPU 간 초고속 연결), ConnectX-9 SuperNIC(네트워크 인터페이스, 1.6Tb/s), BlueField-4 DPU(저장/보안 오프로드), Spectrum-6 SPX(이더넷 스위치, 실리콘 포토닉스 CPO 적용)다.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이 7개 칩이 5가지 랙으로 조합된다. 핵심 학습/추론 랙인 NVL72(루빈 GPU 72개 + Vera CPU 36개), 추론 가속 랙인 Groq 3 LPX(LPU 256개), CPU 랙(Vera CPU 256개), 스토리지 랙(BlueField-4 STX), 네트워킹 랙(Spectrum-6 SPX). 이 5종 랙 40개를 합치면 Vera Rubin POD가 완성된다. POD 1개에 루빈 GPU 1,152개, 총 약 2만 개의 엔비디아 칩, 1.2경(</w:t>
      </w:r>
      <w:r w:rsidRPr="00F3770B">
        <w:rPr>
          <w:rFonts w:ascii="맑은 고딕" w:eastAsia="맑은 고딕" w:hAnsi="맑은 고딕" w:cs="맑은 고딕" w:hint="eastAsia"/>
        </w:rPr>
        <w:t>京</w:t>
      </w:r>
      <w:r w:rsidRPr="00F3770B">
        <w:rPr>
          <w:rFonts w:ascii="Pretendard Medium" w:eastAsia="Pretendard Medium" w:hAnsi="Pretendard Medium"/>
        </w:rPr>
        <w:t>)개의 트랜지스터, 60 엑사FLOPS의 연산 능력이 들어간다.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특히 주목할 것은 Groq 3 LPU다. 엔비디아가 2025년 12월 200억 달러에 인수한 Groq의 기술을 통합한 추론 전용 칩이다. 삼성 4nm 공정으로 생산되며, 칩 1개에 약 500MB의 SRAM을 탑재해 150TB/s의 대역폭을 낸다. 루빈 GPU가 연산량이 많은 입력 처리(prefill)를 담당하고, Groq LPU가 출력 토큰 생성(decode)을 초저지연으로 처리하는 분업 구조다. 엔비디아에 따르면 이 조합으로 와트당 토큰 처리량이 블랙웰 대비 35배 향상된다.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젠슨 황은 블랙웰과 루빈을 합산해 2027년까지 1조 달러의 주문 전망을 밝혔다. 작년에 발표한 5,000억 달러 목표를 1년 만에 2배로 상향한 것이다. AWS는 루빈 GPU 100만 개 이상을 배치하겠다고 발표했고, Anthropic, 메타, Mistral AI, OpenAI가 Vera Rubin 초기 고객으로 확정됐다.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이 발표가 반도체 밸류체인 전체에 미치는 영향은 이렇다. 루빈 GPU에는 HBM4 288GB가 탑재되므로 SK하이닉스와 삼성전자의 HBM4 수요가 직접 증가한다. TSMC 3nm 공정으로 제조되므로 TSMC 첨단 라인 가동률이 올라간다. Groq 3 LPU는 삼성 4nm 파운드리로 제조되므로 삼성전자 파운드리 사업부에도 물량이 잡힌다. NVL72 랙 1개에 약 130만 개의 부품이 들어가므로 기판, 패키징, 테스트 장비, 광통신 수요가 전부 늘어난다. 엔비디아의 제품 로드맵이 곧 반도체 밸류체인 전체의 수요 로드맵인 셈이다.</w:t>
      </w:r>
    </w:p>
    <w:p w:rsidR="00F3770B" w:rsidRPr="00F3770B" w:rsidRDefault="00F3770B" w:rsidP="00613E97">
      <w:pPr>
        <w:pStyle w:val="font-claude-response-body"/>
        <w:rPr>
          <w:rFonts w:ascii="Pretendard Medium" w:eastAsia="Pretendard Medium" w:hAnsi="Pretendard Medium"/>
          <w:sz w:val="28"/>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DeepSeek 충격과 제본스 역설 — 효율화가 수요를 줄이는가, 늘리는가</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2025년 1월, 중국 AI 스타트업 DeepSeek이 R1 모델을 공개했다. 충격은 두 가지였다. OpenAI o1에 필적하는 추론 성능을 보여줬다는 것, 그리고 학습 비용이 겨우 560만 달러라고 주장했다는 것이다. OpenAI가 GPT-4에 1억 달러 이상을 썼다는 점을 감안하면 20분의 1 수준이다. GPU도 2,048개만 썼다고 했다. 미국 경쟁사들이 10만 개 이상을 쓰는 것과 비교된다. MoE(Mixture of Experts) 구조와 저정밀 연산 최적화로 "적은 자원으로 더 많은 성과"를 낸 것이다.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시장은 패닉에 빠졌다. "AI 학습에 그렇게 많은 GPU가 필요 없다면, 엔비디아와 반도체 기업들에 대한 투자가 과잉 아닌가?" 엔비디아 시가총액이 하루 만에 약 6,000억 달러 증발했다. 월스트리트 역사상 최대 단일일 시총 손실이었다.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그런데 그 뒤에 일어난 일이 더 중요하다. 하이퍼스케일러들의 CAPEX는 줄어들기는커녕 오히려 상향됐다. 메타의 저커버그는 DeepSeek 공개 직후 2025년 AI 투자를 600억~650억 달러로 올렸다. 마이크로소프트의 나델라는 X(구 트위터)에 "제본스 역설이 다시 작동한다(Jevons paradox strikes again!)"고 썼다.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제본스 역설은 1865년 영국 경제학자 윌리엄 스탠리 제본스가 발견한 현상이다. 당시 영국은 석탄이 고갈될까 걱정했는데, 제임스 와트가 증기기관의 효율을 높이자 석탄 소비가 줄어들기는커녕 폭발적으로 증가했다. 더 효율적인 기관 덕분에 더 많은 산업이 증기기관을 쓸 수 있게 됐기 때문이다.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AI에서도 같은 일이 벌어지고 있다. DeepSeek이 AI 학습 비용을 극적으로 낮추면서, 이제 대형 빅테크만이 아니라 중소기업, 병원, 학교, 정부까지 AI를 쓸 수 있게 됐다. 개별 모델의 비용은 줄었지만, AI를 사용하는 주체와 용도가 폭발적으로 늘어나면서 총 연산 수요는 오히려 커진 것이다. Anthropic의 다리오 아모데이 CEO도 "시스템이 더 지능적일수록 기업들이 훈련에 더 많이 쓰게 된다"고 밝혔다.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결론적으로 DeepSeek 충격은 반도체 수요를 줄이는 것이 아니라, AI의 저변을 넓혀서 총수요를 더 키우는 방향으로 작동하고 있다. 다만 이것이 "효율화 리스크가 완전히 없다"는 뜻은 아니다. 단기적으로 학습용 GPU 수요에 대한 의문이 제기될 수 있고, 엔비디아의 프리미엄 가격 정책에 압력이 가해질 수 있다. 이 부분은 Part 7 위험 요인에서 다시 다룬다.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Part 2에서는 반도체 밸류체인 전체를 설계부터 광통신까지 쭉 풀어내고, 국가별 경쟁 구도를 정리한다.</w:t>
      </w:r>
    </w:p>
    <w:p w:rsidR="00503667" w:rsidRDefault="00503667">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rPr>
      </w:pPr>
    </w:p>
    <w:p w:rsidR="00F3770B" w:rsidRDefault="00F3770B">
      <w:pPr>
        <w:rPr>
          <w:rFonts w:ascii="Pretendard Medium" w:eastAsia="Pretendard Medium" w:hAnsi="Pretendard Medium" w:hint="eastAsia"/>
        </w:rPr>
      </w:pPr>
    </w:p>
    <w:p w:rsidR="00F3770B" w:rsidRPr="00F3770B" w:rsidRDefault="00F3770B">
      <w:pPr>
        <w:rPr>
          <w:rFonts w:ascii="Pretendard Medium" w:eastAsia="Pretendard Medium" w:hAnsi="Pretendard Medium" w:hint="eastAsia"/>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PART 2. 반도체 밸류체인 + 국가별 경쟁 구도</w:t>
      </w: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(1) 밸류체인 — 모래에서 AI 공장까지</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반도체 산업은 하나의 거대한 사슬로 연결돼 있다. 설계 → 제조(파운드리) → 메모리 → 패키징 → 장비 → 소재 → 기판 → 네트워킹/광통신. 각 단계마다 지배적 기업이 다르고, 마진 구조가 다르고, 진입장벽의 성격이 다르다. 한 단계라도 막히면 전체가 멈춘다. 밸류체인을 이해하면 "왜 이 기업이 오르고, 저 기업은 안 오르는지"가 보이기 시작한다.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1단계: 설계 (EDA + 팹리스)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반도체의 시작은 설계다. EDA 소프트웨어로 회로를 그리고, 팹리스 기업이 칩 아키텍처를 설계한다.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EDA 시장은 시놉시스(Synopsys), 케이던스(Cadence), 지멘스 EDA 3사가 80% 이상을 과점한다. 이 소프트웨어 없이는 반도체를 설계할 수 없다. 진입장벽은 극히 높고, 영업이익률은 30~35%대로 반도체 밸류체인에서 가장 안정적인 수익 구조를 갖고 있다. 다만 시장 규모 자체가 크지 않아(글로벌 약 170억 달러) 이 보고서에서는 개별 기업 심층 분석 대상에 포함하지 않는다.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팹리스 설계 기업이 밸류체인에서 가장 높은 수익성과 밸류에이션을 차지한다. 엔비디아의 데이터센터 부문 영업이익률은 60%를 넘고, 브로드컴도 30%대를 유지한다. 공장이 없으니 설비투자 부담이 적고, 핵심 가치가 지적재산(IP)에 집중돼 있다. 엔비디아(GPU), AMD(GPU/CPU), 브로드컴(커스텀 ASIC), 마벨(커스텀 ASIC), 퀄컴(모바일/엣지 AI)이 주요 기업이다.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설계 단계의 진입장벽은 "소프트웨어 생태계"다. 엔비디아의 CUDA가 대표적이다. 칩 하드웨어보다 개발자 500만 명이 쌓아올린 소프트웨어 자산이 더 높은 벽이다.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2단계: 제조 (파운드리)</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설계된 도면을 실제 칩으로 찍어내는 단계다. 여기서 TSMC가 압도적이다. IDC에 따르면 전통적 파운드리 시장에서 TSMC 점유율은 2023년 59%에서 2025년 66%로 확대됐다. 첨단 AI 칩(7nm 이하) 분야에서는 90% 이상이다. 삼성전자가 2위이지만 점유율 한 자릿수, 인텔 파운드리가 3위로 진입을 시도하고 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파운드리의 진입장벽은 "자본 + 시간 + 수율"이다. 첨단 팹 하나 짓는 데 200억 달러 이상이 들고, 착공에서 양산까지 3~5년이 걸린다. 양산을 시작해도 수율(양품률)을 올리는 데 또 수년이 필요하다. TSMC가 2nm 공정에서 수율 80% 이상을 달성한 반면, 삼성전자는 60%대다. 이 수율 차이가 곧 원가 차이이고, 고객 확보 차이이고, 주가 차이다.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영업이익률은 TSMC가 50% 이상으로 반도체 제조업 중 최고 수준이다. "독점에 가까운 점유율 + 수요 초과 상태"가 만들어낸 구조적 프리미엄이다. TSMC가 2026년 첨단 공정 가격을 3~10% 인상할 예정이라는 보도가 나오고 있는데, 고객 입장에서 대안이 없으니 가격을 받아들일 수밖에 없다.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3단계: 메모리 (HBM / DRAM / NAND)</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AI 시대에 메모리의 위상이 완전히 바뀌었다. 과거에는 DRAM 가격 사이클에 따라 오르내리는 범용 부품이었지만, HBM이 등장하면서 AI GPU의 필수 부품, 공급이 부족한 전략 자산이 됐다.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HBM 시장은 SK하이닉스, 삼성전자, 마이크론 3사가 독점한다. 트렌드포스 2026년 전망 기준 점유율은 SK하이닉스 50%, 삼성전자 28%, 마이크론 22%다. BofA 기준 2026년 HBM 시장 규모는 546억 달러(약 73조 원)로 전년 대비 58% 성장한다.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마진 구조가 핵심이다. SK하이닉스의 2025년 영업이익률은 49%다. 일반 DRAM이 가격 경쟁에 시달리는 범용 부품인 반면, HBM은 엔비디아 품질 검증(Qual)을 통과해야 하고, 12~16단 적층 기술 난이도가 높으며, 수요 대비 공급이 부족하다. 이 세 가지 조건이 겹치면서 HBM은 일반 DRAM 대비 5~10배 높은 가격에 거래된다. HBM4는 전작 대비 20~30% 더 비싼 가격이 논의되고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NAND 플래시는 AI 서버의 대용량 저장장치(SSD)에 쓰인다. HBM만큼 주목받지는 못하지만, AI 모델의 크기가 커질수록 SSD 용량도 함께 늘어나야 하므로 구조적 수혜는 존재한다.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4단계: 패키징 (CoWoS / 2.5D / 3D)</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AI 시대의 최대 병목 중 하나다. 아무리 칩을 잘 설계하고 잘 찍어내도, 패키징 라인이 부족하면 완성품이 나올 수 없다. TSMC의 CoWoS 패키징 라인이 대표적 병목이다. </w:t>
      </w:r>
      <w:r w:rsidRPr="00F3770B">
        <w:rPr>
          <w:rFonts w:ascii="Pretendard Medium" w:eastAsia="Pretendard Medium" w:hAnsi="Pretendard Medium"/>
        </w:rPr>
        <w:lastRenderedPageBreak/>
        <w:t>TSMC가 월 생산능력을 2023년 말 1.5만 장에서 2024년 말 3.5만 장으로 2배 넘게 늘렸지만, 엔비디아 블랙웰과 루빈의 수요를 따라가지 못하고 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첨단 패키징의 진입장벽은 "전공정 수준의 기술력"이다. 과거 후공정은 단순 조립이었지만, 2.5D/3D 패키징은 나노미터 단위의 정밀도가 필요하다. 딜로이트에 따르면 첨단 패키징에 필요한 전문 인력이 미국과 유럽에 극히 부족해서, 아시아 의존도가 당분간 유지될 수밖에 없다.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한국 기업들의 수혜 지점이 바로 여기다. HBM 적층에 필수적인 TC본더(한미반도체), 웨이퍼 절단/마킹용 레이저 장비(이오테크닉스), 메모리 테스트 핸들러(테크윙), HBM 테스트소켓(ISC, 리노공업)이 패키징 증설에 직접 연동되는 장비·부품이다.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5단계: 장비</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반도체를 만드는 기계를 만드는 산업이다. 장비 없이는 칩도, 메모리도, 패키징도 불가능하다.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노광 장비는 ASML이 독점한다. EUV 장비를 만들 수 있는 회사는 전 세계에 ASML 단 한 곳이다. 식각 장비는 Lam Research, Applied Materials, 도쿄일렉트론이 과점한다. 증착 장비는 Applied Materials, 도쿄일렉트론이 주도하고, ALD 장비는 ASM International과 한국의 주성엔지니어링이 경쟁한다. 검사/계측 장비는 KLA가 독점적 위치다.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장비 산업의 특징은 "기술 독점 + 장기 수주 사이클"이다. ASML의 EUV 장비는 주문에서 납품까지 1~2년이 걸린다. 한번 도입하면 수십 년간 유지보수 매출이 발생한다. 영업이익률은 ASML 30%대, Applied Materials·Lam Research 25~30%대로 안정적이다.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한국 장비 기업들은 글로벌 대비 규모는 작지만, 삼성전자·SK하이닉스향 전용 장비를 공급하는 "캡티브(전속) 구조"로 안정적 수요를 확보하고 있다. 주성엔지니어링(ALD), 원익IPS(CVD)가 대표적이다. GAA 전환과 HBM4 양산 확대가 이 기업들의 실적에 직접 연결된다.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6단계: 소재</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반도체 제조에 들어가는 화학물질, 가스, 마스크, 펠리클, 웨이퍼 등이다. 개별 소재 시장 규모는 크지 않지만, 하나라도 빠지면 공정이 멈춘다. 일본이 이 분야에서 강력한 경쟁력을 </w:t>
      </w:r>
      <w:r w:rsidRPr="00F3770B">
        <w:rPr>
          <w:rFonts w:ascii="Pretendard Medium" w:eastAsia="Pretendard Medium" w:hAnsi="Pretendard Medium"/>
        </w:rPr>
        <w:lastRenderedPageBreak/>
        <w:t>보유하고 있다. 포토레지스트(PR)는 도쿄오카, 신에츠, JSR이 과점하고, 특수가스는 다이킨, 에어리퀴드, 린데가 주도한다. 블랭크마스크와 펠리클은 EUV 공정의 수율을 좌우하는 핵심 소재로, 한국의 에스앤에스텍, FST 등이 국산화를 추진 중이다.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7단계: 기판 (FC-BGA / PCB)</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칩이 올라가는 회로판이다. AI 칩이 거대해지면서 기판의 중요성이 급상승했다. 기존 서버용 CPU 기판이 8~12층이었다면, AI GPU용 FC-BGA 기판은 20~30층 이상이다. 층수가 늘어날수록 제조 난이도가 올라가고, 단가도 올라간다.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글로벌 시장은 일본의 이비덴(Ibiden), 신코전기(Shinko)가 주도하고, 한국에서는 이수페타시스(FC-BGA 고다층), 대덕전자(반도체용 PCB)가 핵심 기업이다. 시가총액이 작은 기업들이 많은데, AI 칩 대형화에 따른 기판 수요 증가가 구조적이라는 점에서 성장 기울기가 가파르다.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8단계: 네트워킹 / 광통신</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AI 데이터센터에서 GPU 수천 개가 동시에 일하려면 GPU끼리, 랙끼리, 서버룸끼리 데이터를 초고속으로 주고받아야 한다. 이 연결을 담당하는 게 네트워킹과 광통신이다.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데이터센터 이더넷 스위치는 아리스타 네트웍스(Arista Networks)가 핵심이다. 광케이블은 코닝(Corning)이 글로벌 1위다. 실리콘 포토닉스와 CPO는 이제 막 상용화가 시작되는 단계로, 엔비디아가 루멘텀과 코히런트에 5.8조 원을 투자한 배경이다. 한국에서는 옵티코어(800G 광트랜시버)와 파이버프로(광섬유 소재)가 이 시장에 위치한다.</w:t>
      </w:r>
    </w:p>
    <w:p w:rsidR="00613E97" w:rsidRDefault="00613E97" w:rsidP="00613E97">
      <w:pPr>
        <w:pStyle w:val="font-claude-response-body"/>
        <w:pBdr>
          <w:bottom w:val="single" w:sz="12" w:space="1" w:color="auto"/>
        </w:pBdr>
        <w:rPr>
          <w:rFonts w:ascii="Pretendard Medium" w:eastAsia="Pretendard Medium" w:hAnsi="Pretendard Medium"/>
        </w:rPr>
      </w:pPr>
      <w:r w:rsidRPr="00F3770B">
        <w:rPr>
          <w:rFonts w:ascii="Pretendard Medium" w:eastAsia="Pretendard Medium" w:hAnsi="Pretendard Medium"/>
        </w:rPr>
        <w:t>광통신은 밸류체인에서 가장 새로 열리는 시장이다. 실적이 본격화되기 전 단계이므로 리스크가 높지만, 엔비디아 로드맵에 의해 수요가 확정돼 있다는 점에서 성장 기울기도 가장 가파르다.</w:t>
      </w:r>
    </w:p>
    <w:p w:rsidR="00F3770B" w:rsidRPr="00F3770B" w:rsidRDefault="00F3770B" w:rsidP="00613E97">
      <w:pPr>
        <w:pStyle w:val="font-claude-response-body"/>
        <w:pBdr>
          <w:bottom w:val="single" w:sz="12" w:space="1" w:color="auto"/>
        </w:pBdr>
        <w:rPr>
          <w:rFonts w:ascii="Pretendard Medium" w:eastAsia="Pretendard Medium" w:hAnsi="Pretendard Medium"/>
        </w:rPr>
      </w:pPr>
    </w:p>
    <w:p w:rsidR="00F3770B" w:rsidRDefault="00F3770B" w:rsidP="00613E97">
      <w:pPr>
        <w:pStyle w:val="font-claude-response-body"/>
        <w:rPr>
          <w:rFonts w:ascii="맑은 고딕" w:eastAsia="맑은 고딕" w:hAnsi="맑은 고딕" w:cs="맑은 고딕"/>
        </w:rPr>
      </w:pPr>
    </w:p>
    <w:p w:rsidR="00F3770B" w:rsidRPr="00F3770B" w:rsidRDefault="00F3770B" w:rsidP="00613E97">
      <w:pPr>
        <w:pStyle w:val="font-claude-response-body"/>
        <w:rPr>
          <w:rFonts w:ascii="Pretendard Medium" w:eastAsia="Pretendard Medium" w:hAnsi="Pretendard Medium" w:hint="eastAsia"/>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(2) 국가별 경쟁 구도 — 누가 어디를 쥐고 있는가</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반도체 산업은 어떤 단일 국가도 혼자서 완성할 수 없는 구조다. 설계는 미국, 제조는 대만, 메모리는 한국, 장비는 네덜란드·일본·미국, 소재는 일본이 각각 핵심을 쥐고 있다. 이 분업 구조가 반도체를 지정학의 핵심으로 만들었다.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미국 — 설계 패권</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미국은 반도체 설계와 소프트웨어에서 압도적이다. 엔비디아, AMD, 브로드컴, 퀄컴, 마벨 같은 팹리스 기업이 전부 미국 기업이다. EDA 소프트웨어 3사도 전부 미국이다. CUDA 생태계도 미국이다. 설계 IP의 가치가 가장 높고, 밸류에이션도 가장 높다.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제조는 약하다. 인텔이 파운드리 사업을 재건하고 있지만, TSMC와의 기술 격차가 크다. 이를 만회하기 위해 2022년 CHIPS Act를 통과시켰다. 527억 달러의 보조금과 세액공제로 미국 내 반도체 제조 역량을 키우겠다는 법안이다. TSMC 애리조나 공장(4/5nm), 삼성전자 텍사스 테일러 공장(2nm), 인텔 오하이오 공장이 CHIPS Act 수혜를 받고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미국이 가장 강력하게 쓰는 무기는 수출 통제다. 2022년 10월 바이든 행정부가 첨단 반도체와 장비의 대중국 수출 통제를 시작한 이후, 규제가 지속적으로 강화돼왔다. EUV 장비의 중국 수출은 완전 차단됐고, DUV 장비도 일부 제한됐다. 엔비디아의 중국향 칩은 H100에서 H800으로, 다시 H20으로 성능을 낮춰왔는데, 2025년 4월에는 H20마저 수출 허가제로 전환됐다. 엔비디아는 이로 인해 약 55억 달러의 관련 비용을 계상했다. 이후 트럼프 행정부에서 정책이 오락가락하면서 H20 판매가 재개되고, 2026년 GTC에서는 H200의 중국 판매 재개까지 발표됐지만, 장기적으로 첨단 칩의 대중국 수출은 제한 기조가 유지될 가능성이 높다.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대만 — 제조 패권</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대만은 TSMC라는 단 하나의 기업으로 글로벌 반도체 제조의 핵심을 쥐고 있다. 파운드리 시장 점유율 66~72%(측정 기준에 따라 다름), 첨단 AI 칩 제조 90% 이상이 TSMC를 거친다. 엔비디아, AMD, 애플, 퀄컴, 브로드컴의 칩이 전부 TSMC에서 찍힌다.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대만의 리스크는 지정학이다. 중국-대만 긴장이 고조될 경우, 전 세계 첨단 반도체 공급이 마비될 수 있다. TSMC가 미국 애리조나, 일본 구마모토에 공장을 짓고 있는 이유가 이 </w:t>
      </w:r>
      <w:r w:rsidRPr="00F3770B">
        <w:rPr>
          <w:rFonts w:ascii="Pretendard Medium" w:eastAsia="Pretendard Medium" w:hAnsi="Pretendard Medium"/>
        </w:rPr>
        <w:lastRenderedPageBreak/>
        <w:t>리스크 분산이다. 다만 TSMC의 최첨단 공정(2nm, 1.4nm)은 당분간 대만 본토에서만 양산될 계획이다.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한국 — 메모리 패권</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한국은 메모리 반도체에서 세계 최강이다. SK하이닉스와 삼성전자가 DRAM 글로벌 시장의 약 70%, HBM 시장의 약 78%(SK 50% + 삼성 28%)를 차지한다. AI 시대에 HBM이 필수재가 되면서 한국의 전략적 가치가 급상승했다.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삼성전자는 메모리 외에 파운드리 사업도 운영하는 유일한 메모리 IDM이다. 2nm GAA 공정을 양산 중이고, 퀄컴·테슬라와 위탁생산 협의를 진행 중이다. TSMC가 포화 상태에서 가격을 올리는 상황이 삼성 파운드리에 기회를 만들고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한국의 소부장(소재·부품·장비) 기업들도 글로벌 밸류체인에서 중요한 위치를 차지한다. 한미반도체(TC본더), 주성엔지니어링(ALD), 이수페타시스(FC-BGA), 옵티코어(광트랜시버) 등이 각 분야에서 기술 전환의 직접 수혜를 받는 기업들이다. 삼성전자·SK하이닉스의 2026년 합산 설비투자 전망이 70조 원이며, 이 투자가 한국 소부장 기업들의 실적으로 직결된다.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중국 — 자급자족 시도, 그러나 벽이 높다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중국은 반도체 자급률을 높이기 위해 국가적 역량을 투입하고 있지만, 첨단 분야에서의 격차가 크다.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화웨이는 자회사 하이실리콘(HiSilicon)을 통해 Ascend 910C AI 칩을 설계했다. SMIC이 7nm 공정으로 제조하는데, EUV 없이 DUV 멀티패터닝으로 생산하다 보니 수율이 30~50% 수준에 불과하다. 미국 동맹국 제조사의 수율 90% 이상과 비교하면 2~3배 비싼 칩이 되는 셈이다. SemiAnalysis에 따르면 2026년 Ascend 910C 생산량은 25만~30만 개 수준으로, 엔비디아가 같은 해 출하하는 수백만 개의 칩과 비교하면 규모 차이가 크다.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더 큰 문제는 HBM이다. CXMT(창신메모리)가 DRAM 양산에 나서고 있지만, HBM 기술은 SK하이닉스·삼성 대비 2~3세대 뒤처져 있다. HBM이 없으면 AI 가속기 성능을 제대로 발휘할 수 없으므로, HBM이 중국 AI 반도체의 핵심 병목이다.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EUV 장비는 완전 차단돼 있다. 중국이 자체 EUV 프로토타입을 개발했다는 보도가 있지만, 실제 칩 생산에 성공하지는 못했고 상용화는 2028~2030년 이후로 추정된다. 그 사이 ASML의 DUV 장비 유지보수마저 제한되면 중국의 첨단 칩 생산 역량은 더 위축될 수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다만 중국의 성숙 공정(28nm 이상) 반도체 생산 능력은 빠르게 늘어나고 있다. 자동차용, 산업용, 가전용 반도체에서 중국이 글로벌 공급 비중을 높이고 있어, 성숙 공정 분야에서의 가격 경쟁 압력은 주시해야 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일본 — 장비와 소재의 강자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일본은 도쿄일렉트론(코터/디벨로퍼), 스크린홀딩스(세정장비), 코쿠사이일렉트릭(배치CVD) 등 장비 분야와 포토레지스트, 특수가스 등 소재 분야에서 글로벌 핵심 위치를 차지한다. 이비덴과 신코전기는 AI GPU용 고다층 기판 분야의 글로벌 선두 기업이다.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일본은 자체 첨단 파운드리 확보에도 나서고 있다. 라피다스(Rapidus)가 2nm 공정을 목표로 IBM과 협력 중이고, TSMC가 구마모토에 공장을 지었다. 다만 라피다스의 상용화 시점은 2027년 이후로, 아직 불확실성이 크다.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유럽 — ASML이라는 독점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유럽의 반도체 산업에서 가장 중요한 존재는 ASML이다. EUV 장비를 전 세계에서 유일하게 생산하는 이 네덜란드 기업이 없으면 7nm 이하 첨단 반도체를 만들 수 있는 나라가 사라진다. ASML의 2024년 매출은 약 282억 유로, 영업이익률은 35%대다.</w:t>
      </w:r>
    </w:p>
    <w:p w:rsidR="00F3770B" w:rsidRDefault="00613E97" w:rsidP="00613E97">
      <w:pPr>
        <w:pStyle w:val="font-claude-response-body"/>
        <w:pBdr>
          <w:bottom w:val="single" w:sz="12" w:space="1" w:color="auto"/>
        </w:pBdr>
        <w:rPr>
          <w:rFonts w:ascii="Pretendard Medium" w:eastAsia="Pretendard Medium" w:hAnsi="Pretendard Medium"/>
        </w:rPr>
      </w:pPr>
      <w:r w:rsidRPr="00F3770B">
        <w:rPr>
          <w:rFonts w:ascii="Pretendard Medium" w:eastAsia="Pretendard Medium" w:hAnsi="Pretendard Medium"/>
        </w:rPr>
        <w:t>유럽은 자동차용 반도체에서도 강하다. 인피니온(Infineon), NXP, STMicroelectronics가 자동차 반도체 시장을 주도하지만, AI 반도체와는 직접 관련이 적으므로 이 보고서에서는 깊게 다루지 않는다.</w:t>
      </w:r>
    </w:p>
    <w:p w:rsidR="00F3770B" w:rsidRPr="00F3770B" w:rsidRDefault="00F3770B" w:rsidP="00613E97">
      <w:pPr>
        <w:pStyle w:val="font-claude-response-body"/>
        <w:pBdr>
          <w:bottom w:val="single" w:sz="12" w:space="1" w:color="auto"/>
        </w:pBdr>
        <w:rPr>
          <w:rFonts w:ascii="Pretendard Medium" w:eastAsia="Pretendard Medium" w:hAnsi="Pretendard Medium" w:hint="eastAsia"/>
        </w:rPr>
      </w:pPr>
    </w:p>
    <w:p w:rsidR="00F3770B" w:rsidRDefault="00F3770B" w:rsidP="00613E97">
      <w:pPr>
        <w:pStyle w:val="font-claude-response-body"/>
        <w:rPr>
          <w:rFonts w:ascii="맑은 고딕" w:eastAsia="맑은 고딕" w:hAnsi="맑은 고딕" w:cs="맑은 고딕"/>
        </w:rPr>
      </w:pPr>
    </w:p>
    <w:p w:rsidR="00F3770B" w:rsidRPr="00F3770B" w:rsidRDefault="00F3770B" w:rsidP="00613E97">
      <w:pPr>
        <w:pStyle w:val="font-claude-response-body"/>
        <w:rPr>
          <w:rFonts w:ascii="Pretendard Medium" w:eastAsia="Pretendard Medium" w:hAnsi="Pretendard Medium" w:hint="eastAsia"/>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(3) 하이퍼스케일러 자체 칩 전략 — 엔비디아 독점에 대한 보험</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하이퍼스케일러들은 엔비디아 GPU에 대한 의존도를 낮추기 위해 자체 AI 칩 개발에 나서고 있다. 엔비디아 GPU가 너무 비싸고, 공급도 부족하고, 한 회사에 대한 의존도가 높은 것이 경영 리스크이기 때문이다.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구글은 TPU(Tensor Processing Unit)를 가장 먼저, 가장 오래 개발해왔다. 현재 TPU v6e(트릴리움)까지 나왔고, 자체 학습과 추론 워크로드의 상당 부분을 TPU로 처리한다. TPU 설계의 핵심 파트너가 브로드컴이다.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아마존(AWS)은 학습용 트레이니움(Trainium)과 추론용 인퍼런티아(Inferentia)를 개발하고 있다. 트레이니움2가 2024년 출시됐고, 차세대 트레이니움3 개발이 마벨과 협력해 진행 중이다.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메타는 MTIA(Meta Training and Inference Accelerator)를 개발 중이다. 아직 초기 단계이지만, 메타의 대규모 AI 워크로드를 감안하면 장기적으로 자체 칩 비중을 높일 가능성이 높다.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마이크로소프트는 마이아(Maia) AI 칩과 코발트(Cobalt) ARM CPU를 자체 개발했다. 마이아는 TSMC 5nm 공정으로 제조되며, 애저(Azure) 데이터센터에 배치되고 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여기서 핵심 포인트는, 이 자체 칩들의 설계를 도와주는 기업이 브로드컴과 마벨이라는 점이다. 하이퍼스케일러가 직접 칩을 설계하는 게 아니라, 브로드컴이나 마벨에 "이런 용도에 맞는 칩을 설계해달라"고 맡기는 구조다. 트렌드포스에 따르면 2026년 커스텀 ASIC 출하량 성장률은 44.6%로 GPU 출하량 성장률(16.1%)을 크게 앞서고 있다. 커스텀 ASIC이 GPU를 대체하는 것은 아니지만, 전체 AI 칩 시장에서 차지하는 비중이 꾸준히 높아지고 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투자 관점에서 이것이 의미하는 바는 명확하다. 엔비디아의 GPU 독점이 영원하지 않을 수 있다는 리스크인 동시에, 커스텀 ASIC 설계를 대행하는 브로드컴과 마벨에는 구조적 성장 기회다. 그리고 어떤 칩이든 TSMC에서 찍히고, HBM이 붙고, CoWoS로 패키징되는 구조는 동일하므로, 밸류체인 중하류 기업들의 수혜는 "누가 칩을 설계하든" 유지된다.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PART 3에서는 글로벌 기업 심층 분석을 미국 기업부터 시작한다. </w:t>
      </w:r>
    </w:p>
    <w:p w:rsidR="00613E97" w:rsidRDefault="00613E97">
      <w:pPr>
        <w:rPr>
          <w:rFonts w:ascii="Pretendard Medium" w:eastAsia="Pretendard Medium" w:hAnsi="Pretendard Medium"/>
        </w:rPr>
      </w:pPr>
    </w:p>
    <w:p w:rsidR="00F3770B" w:rsidRPr="00F3770B" w:rsidRDefault="00F3770B">
      <w:pPr>
        <w:rPr>
          <w:rFonts w:ascii="Pretendard Medium" w:eastAsia="Pretendard Medium" w:hAnsi="Pretendard Medium" w:hint="eastAsia"/>
        </w:rPr>
      </w:pPr>
    </w:p>
    <w:p w:rsidR="00613E97" w:rsidRPr="00F3770B" w:rsidRDefault="00613E97" w:rsidP="00613E97">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PART 3-1. 글로벌 기업 분석 — AI 칩을 설계하는 기업들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이 파트에서는 AI 반도체 밸류체인의 최상단, 칩을 직접 설계하는 기업 4개를 분석한다. 엔비디아(범용 GPU), AMD(범용 GPU/CPU), 브로드컴(커스텀 ASIC), 마벨(커스텀 ASIC)이다. 이 네 기업이 중요한 이유는 하이퍼스케일러가 AI 인프라에 쏟아붓는 수백조 원의 CAPEX가 가장 먼저 도착하는 곳이기 때문이다. 이들의 매출 증가가 TSMC, SK하이닉스, 한미반도체 등 밸류체인 전체의 수요로 파급된다.</w:t>
      </w:r>
    </w:p>
    <w:p w:rsidR="00613E97" w:rsidRPr="00F3770B" w:rsidRDefault="00613E97" w:rsidP="00613E97">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엔비디아 (NVIDIA, NVDA)</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GPU / 네트워킹 / CUDA 생태계 / AI 공장 플랫폼</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시가총액 약 2조 8,000억 달러(약 3,980조 원). 세계에서 가장 비싼 기업 중 하나이자, AI 반도체의 절대 지배자다.</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FY2026(2025.2~2026.1) 연간 매출 2,159억 달러(약 307조 원), 영업이익 1,304억 달러(약 185조 원), 영업이익률 60.4%. 전년 대비 매출 +65%, 영업이익 +60%다. FY2025 매출이 1,305억 달러였는데, 1년 만에 850억 달러(약 121조 원)가 순증했다. 참고로 SK하이닉스의 2025년 연간 매출이 97조 원이다. 엔비디아가 1년에 늘린 매출이 SK하이닉스 전체 매출보다 크다.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Q4 FY26(2025.11~2026.1) 단일 분기 매출 681억 달러(전년 대비 +73%), 영업이익 461억 달러. 다음 분기(Q1 FY27) 가이던스는 780억 달러(±2%)다. 중국향 데이터센터 컴퓨트 매출은 가이던스에 포함하지 않았다고 명시했다.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데이터센터 부문이 FY2026 연간 1,937억 달러로 전체 매출의 89.7%를 차지한다. 전년 대비 +68%다. 이 중 컴퓨트(GPU)가 1,624억 달러, 네트워킹이 314억 달러인데, 네트워킹 매출 성장률이 +142%로 GPU 성장률(+59%)보다 훨씬 가파르다. NVLink 스케일업 패브릭과 Spectrum-X 이더넷의 도입이 네트워킹 매출 폭발의 원인이다.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FY2027 컨센서스는 매출 약 3,000억 달러 이상으로, 전년 대비 40%+ 성장이 전망된다.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CUDA 생태계. 이건 아무리 강조해도 부족하다. 전 세계 500만 명 이상의 AI 개발자가 CUDA 기반으로 코드를 짠다. 수만 개의 AI 라이브러리, 프레임워크, 애플리케이션이 CUDA 위에서 돌아간다. OpenAI, Anthropic, 메타, 구글 전부 CUDA 기반이다. 이건 하드웨어 스펙의 문제가 아니라, 개발자 생태계의 문제다. 경쟁사가 칩 성능을 따라잡더라도 개발자 500만 명이 하루아침에 다른 플랫폼으로 옮기지 않는다. 마이크로소프트의 윈도우가 PC 시장을 지배한 것과 같은 구조다. 반도체의 "윈도우 운영체제"인 셈이다.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1년 주기 로드맵 실행력. 호퍼(2022) → 블랙웰(2024) → 블랙웰 울트라(2025) → 루빈(2026) → 루빈 울트라(2027) → 파인만(2028). 기존에 2년이었던 아키텍처 출시 주기를 1년으로 단축했다. 경쟁사가 현세대를 따라잡을 때쯤 이미 다음 세대가 나온다. 이 속도 자체가 경쟁 우위다. GTC 2026에서 Vera Rubin 플랫폼의 7개 칩이 모두 양산에 들어갔다고 발표한 것이 이 실행력의 증거다.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셋째, GPU 회사에서 "AI 공장 플랫폼" 회사로의 전환. GTC 2026이 이 전환의 결정적 순간이었다. 루빈 GPU, Vera CPU, Groq 3 LPU, NVLink 6 Switch, ConnectX-9, BlueField-4, Spectrum-6 SPX. 7개 칩이 5종 랙으로 조합되어 40랙짜리 POD(AI 공장)를 구성한다. 고객은 GPU 한 장이 아니라 AI 공장 전체를 엔비디아에서 산다. 이 "플랫폼 락인"은 CUDA보다 더 강력한 방어벽이 될 수 있다. 한번 엔비디아 POD를 도입하면 GPU, CPU, 네트워킹, 스토리지, 소프트웨어가 전부 엔비디아이므로 다른 업체로 교체하는 것이 사실상 불가능해진다.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넷째, 주문 규모. 블랙웰-루빈 합산 1조 달러의 주문 전망이 나왔다. AWS가 루빈 GPU 100만 개 이상 배치를 발표했고, Anthropic, 메타, Mistral AI, OpenAI가 Vera Rubin 초기 고객으로 확정됐다. 마이크로소프트 애저에는 이미 첫 번째 Vera Rubin NVL72 랙이 가동 중이다.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다섯째, Groq 인수 효과. 2025년 12월 200억 달러에 인수한 Groq의 LPU 기술을 2개월 만에 양산 칩으로 통합한 것은 놀라운 실행력이다. Groq 3 LPU는 추론 전용 칩으로, 루빈 GPU가 입력 처리를 담당하고 LPU가 출력 토큰을 초저지연으로 생성하는 분업 구조다. 와트당 토큰 처리량이 블랙웰 대비 35배 향상된다고 엔비디아는 발표했다. 이건 엔비디아가 학습(Training) 시장뿐 아니라 추론(Inference) 시장까지 본격적으로 장악하겠다는 선언이다. 커스텀 ASIC이 추론 시장을 노리고 있었는데, 엔비디아가 Groq를 인수해서 그 시장까지 직접 들어간 것이다.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밸류에이션 부담. Forward P/E 약 25~35배 수준인데, 이미 "완벽한 실행"을 전제로 한 가격이다. 가이던스가 기대에 못 미치거나, 성장률 둔화 시그널이 나오면 주가가 크게 흔들린다. 실제로 FY26 Q4 실적 발표 당일 매출·이익 모두 시장 기대를 상회했음에도 주가가 5.5% 하락했다. 시장이 이미 높은 기대를 반영하고 있기 때문이다.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중국 매출 리스크. H20 수출 허가제 전환(2025.4)으로 약 55억 달러 비용을 한 번에 계상했다. 중국 매출 비중이 13% 이상이었는데, 수출 통제 정책이 행정부마다 오락가락한다. GTC 2026에서 H200의 중국 판매 재개를 발표했지만, 장기적으로 첨단 칩의 대중국 수출은 제한 기조가 유지될 가능성이 높다. Q1 FY27 가이던스에서 중국향 컴퓨트 매출을 아예 포함하지 않았다고 명시한 것이 이 불확실성을 보여준다.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셋째, 커스텀 ASIC의 부상. 구글 TPU, 아마존 트레이니움, 메타 MTIA 등 하이퍼스케일러 자체 칩이 성장하고 있다. 트렌드포스에 따르면 2026년 커스텀 ASIC 출하량 성장률이 44.6%로 GPU(16.1%)를 크게 앞선다. 엔비디아가 Groq 인수로 추론 시장까지 방어하려는 것도 이 위협에 대한 대응이다. 단, 커스텀 ASIC이 GPU를 "대체"하는 것은 아니고 "보완"하는 구조이므로, 엔비디아의 절대 매출이 줄어드는 것보다는 성장률이 둔화되는 형태로 영향이 나타날 가능성이 높다.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넷째, 순환 거래(Circular Deal) 논란. 엔비디아가 스타게이트 같은 프로젝트에 지분 투자를 하면서 동시에 그 프로젝트에 GPU를 납품하는 구조에 대해 일부에서 우려를 제기하고 있다. OpenAI에 투자하고, OpenAI가 엔비디아 GPU를 사고, 엔비디아가 다시 OpenAI 인프라에 투자하는 순환 구조다. 이것이 실질적 수요인지, 인위적으로 부풀려진 것인지에 대한 논쟁이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CUDA 소프트웨어 생태계(개발자 500만 명 락인) + 1년 주기 로드맵(경쟁사가 따라잡을 수 없는 속도) + AI 공장 플랫폼 전략(GPU에서 전체 인프라로 확장) + 하이퍼스케일러 전 고객 확보. 이 네 가지가 결합되면서, 기술 격차가 좁혀져도 시장 점유율은 쉽게 뺏기지 않는 구조가 만들어져 있다.</w:t>
      </w:r>
    </w:p>
    <w:p w:rsidR="00613E97" w:rsidRPr="00F3770B" w:rsidRDefault="00613E97" w:rsidP="00613E97">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AMD (Advanced Micro Devices, AMD)</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GPU / CPU / ROCm 생태계</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시가총액 약 1,700억 달러(약 242조 원). 엔비디아 시총의 약 6% 수준이다. 그러나 AI 반도체 시장에서 엔비디아의 유일한 범용 GPU 경쟁자라는 점에서 전략적 중요성이 크다.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2025년 연간 매출 약 346억 달러(전년 대비 +34%), 데이터센터 부문 매출 약 160억 달러. Q4 2025 매출 102.7억 달러(전년 대비 +34%), GAAP 영업이익 17.5억 달러(전년 대비 +101%), Non-GAAP 영업이익률 28%. Q4 데이터센터 매출 54억 달러(전년 대비 +39%)로 역대 최고치를 경신했다.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2025년 11월 Analyst Day에서 제시한 중장기 목표는 이렇다. 전사 매출 CAGR 35%+, 데이터센터 매출 CAGR 60%+, AI 매출 CAGR 80%+, Non-GAAP 영업이익률 35%+, Non-GAAP EPS 20달러 이상(3~5년 내). 리사 수 CEO는 "AI 데이터센터 사업이 2027년까지 연간 수백억 달러 규모에 도달할 궤적에 있다"고 밝혔다.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2026년 매출 컨센서스는 약 430억~460억 달러로, 전년 대비 34%+ 성장이 전망된다.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첫째, "엔비디아의 유일한 범용 GPU 대안"이라는 전략적 포지션. 하이퍼스케일러는 단일 공급사에 100% 의존하는 것을 극도로 싫어한다. AMD가 존재한다는 것 자체가 엔비디아에 대한 가격 협상력을 만들어준다. 이 "보험 수요"가 AMD의 존재 이유이자 가장 강력한 해자다. 실제로 하이퍼스케일러 입장에서는 AMD GPU를 도입하면 엔비디아에 "너만 쓰는 게 아니다"라고 말할 수 있고, 이것만으로도 엔비디아의 가격 인상을 견제할 수 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OpenAI·메타 등 초대형 고객 확보. OpenAI가 AMD를 "선호 파트너"로 선정하고, 6GW 규모의 AI 인프라에 Instinct MI450 GPU를 배치하기로 했다. 2026년 하반기부터 1GW 규모로 출하가 시작된다. 메타와도 6GW 규모의 5년짜리 AI 인프라 계약을 체결했는데, 이 계약에는 메타가 AMD 주식 약 10%(1.6억 주)를 성과 조건부 워런트로 받는 구조가 포함돼 있다. 이건 AMD 역사상 가장 큰 고객 계약이다. 오라클도 MI450 GPU 5만 개 규모의 AI 슈퍼클러스터를 2026년 Q3부터 가동할 예정이다.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셋째, 제품 로드맵의 가속화. MI300(2023) → MI350(2025) → MI450(2026 H2) → MI500(2027). 3년 안에 4세대를 내놓는 속도로, 엔비디아의 1년 주기 캐던스에 처음으로 대등하게 맞추고 있다. MI450은 TSMC 2nm 공정으로 제조되는데, 이건 엔비디아 </w:t>
      </w:r>
      <w:r w:rsidRPr="00F3770B">
        <w:rPr>
          <w:rFonts w:ascii="Pretendard Medium" w:eastAsia="Pretendard Medium" w:hAnsi="Pretendard Medium"/>
        </w:rPr>
        <w:lastRenderedPageBreak/>
        <w:t>루빈(3nm)보다 한 세대 앞선 공정이다. Helios 랙 스케일 시스템은 72개 MI455X GPU를 하나의 랙에 통합하며, 메모리 용량과 스케일아웃 대역폭에서 엔비디아 Vera Rubin NVL72를 상회한다고 AMD는 주장한다.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넷째, EPYC 서버 CPU의 점유율 확대. 하이퍼스케일러들이 1,350개 이상의 EPYC 기반 클라우드 인스턴스를 운영 중이고, 전년 대비 50% 증가했다. 인텔로부터 서버 CPU 시장을 계속 뺏어오고 있다. AI 시대에 CPU도 중요하다. 에이전트 AI, RL(강화학습), 도구 호출 같은 작업은 GPU가 아니라 CPU에서 돌아간다. 엔비디아도 이걸 인지하고 Vera CPU를 내놓은 것이다.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첫째, CUDA 대비 ROCm의 소프트웨어 생태계 격차가 여전히 크다. ROCm 7이 추론 성능 4.6배, 학습 성능 3배 개선을 달성했고, Hugging Face, vLLM 등 오픈소스 커뮤니티가 코드를 기여하면서 격차가 좁혀지고 있지만, CUDA 생태계의 깊이와 폭을 따라잡으려면 아직 갈 길이 멀다. 개발자 입장에서 AMD GPU로 전환하려면 코드를 수정해야 하고, 그 전환 비용이 존재한다.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엔비디아 대비 데이터센터 GPU 점유율이 10~15% 수준이다. 80~90%를 차지하는 엔비디아와의 격차가 절대적이다. 점유율 확대 속도가 핵심인데, MI450과 Helios가 성공적으로 램프업되지 않으면 기대치를 충족하기 어렵다.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셋째, 중국 수출 통제 영향. MI308이 중국 수출 제한 대상에 포함되면서 2025년 Q2에 약 7억 달러 매출 타격을 입었다(후반기 일부 완화). 중국 매출 의존도는 엔비디아보다 낮지만, 수출 통제 정책 변동에 따른 불확실성은 상존한다.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넷째, CoWoS 패키징 용량 확보 경쟁. MI450이 TSMC 2nm + CoWoS 패키징을 필요로 하는데, TSMC의 첨단 패키징 라인은 엔비디아가 선점하고 있다. AMD가 필요한 만큼의 CoWoS 용량을 확보할 수 있는지가 MI450 램프업의 핵심 변수다.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"엔비디아 독점에 대한 보험 수요"가 가장 강력한 해자다. 하이퍼스케일러들은 공급사를 분산시켜야 하므로, AMD가 기술적으로 "충분히 좋은(good enough)" 수준만 유지하면 주문이 들어온다. 여기에 EPYC CPU의 서버 시장 점유율 확대, ROCm 오픈소스 생태계 </w:t>
      </w:r>
      <w:r w:rsidRPr="00F3770B">
        <w:rPr>
          <w:rFonts w:ascii="Pretendard Medium" w:eastAsia="Pretendard Medium" w:hAnsi="Pretendard Medium"/>
        </w:rPr>
        <w:lastRenderedPageBreak/>
        <w:t>성장이 추가 해자를 형성한다. AMD의 투자 테마는 "엔비디아 독점의 균열이 얼마나 빨리, 얼마나 크게 벌어지느냐"다.</w:t>
      </w:r>
    </w:p>
    <w:p w:rsidR="00613E97" w:rsidRPr="00F3770B" w:rsidRDefault="00613E97" w:rsidP="00613E97">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브로드컴 (Broadcom, AVGO)</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커스텀 ASIC 설계 / 네트워킹 / 인프라 소프트웨어</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시가총액 약 1조 달러(약 1,420조 원). 엔비디아, 애플 다음으로 반도체 분야에서 세 번째로 비싼 기업이다.</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FY2025(2024.11~2025.10) 연간 매출 639억 달러(전년 대비 +24%), Non-GAAP 순이익 337억 달러(전년 대비 +42%), Adjusted EBITDA 마진 67%. Q4 FY25 매출 174억 달러(전년 대비 +24%), Non-GAAP 영업이익률 70%대. AI 관련 반도체 매출은 분기 41억 달러(Q1 FY25)에서 빠르게 성장 중이며, 전년 대비 77%+ 증가했다.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매출 구성을 보면, 반도체 솔루션이 약 57%(Q3 FY25 기준 91.7억 달러), 인프라 소프트웨어가 약 43%(67억 달러)다. VMware 인수(2023년 11월, 약 610억 달러) 효과로 소프트웨어 매출이 급증했다.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첫째, 커스텀 ASIC 시장의 절대 1위. "구글이 자체 AI 칩을 만들고 싶다" → 브로드컴에 맡긴다. "메타가 자체 네트워킹 칩이 필요하다" → 브로드컴에 맡긴다. 하이퍼스케일러가 엔비디아 의존도를 낮추기 위해 자체 칩을 만들려 할 때, 처음부터 끝까지 혼자 하기는 어렵다. 칩 설계 전문성, IP 라이브러리, 패키징 최적화 노하우가 필요하고, 이걸 가장 잘하는 회사가 브로드컴이다. 구글 TPU의 핵심 설계 파트너이며, 바이트댄스 등 대형 고객의 자체 AI 칩 설계도 대행한다.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Adjusted EBITDA 마진 67%. 반도체 업계에서 이 수준의 마진을 유지하는 기업은 거의 없다. 그 비결은 경영 효율 + 소프트웨어 고마진 + 커스텀 ASIC의 설계 프리미엄이다. 호크 탄 CEO의 경영 철학은 "높은 마진이 나오는 사업만 한다"로 유명하다. 수익성이 낮은 사업은 과감히 정리하고, 고마진 사업에 집중한다.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셋째, VMware 인수로 확보한 인프라 소프트웨어 사업. 분기 67억 달러의 소프트웨어 매출은 반도체 사이클과 무관한 안정적 캐시카우다. 가상화, 클라우드 인프라 소프트웨어는 한번 도입하면 교체가 어려운 "스티키(sticky)" 제품이다. 반도체 업황이 나빠져도 소프트웨어 매출이 바닥을 받쳐주는 구조다.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넷째, 네트워킹 반도체 리더십. 데이터센터 스위칭 칩(Memory ASIC/네트워크 ASIC) 분야에서도 강한 입지를 갖고 있다. AI 데이터센터의 네트워킹 수요가 폭발하면서 이 부문도 빠르게 성장하고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첫째, 고객 집중도 리스크. 구글이 브로드컴의 커스텀 ASIC 사업에서 가장 큰 고객이다. 구글이 자체 설계 역량을 내재화하거나, 다른 파트너(마벨 등)로 분산하면 매출 타격이 크다. 커스텀 ASIC 사업의 특성상 소수의 대형 고객에 매출이 집중되는 구조이므로, 한 고객의 이탈이 전체 실적에 미치는 영향이 크다.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VMware 인수에 따른 부채. 인수 자금 조달로 상당한 부채를 졌다. 물론 캐시 창출 능력이 뛰어나 빠르게 상환하고 있지만, 금리 환경이 우호적이지 않으면 재무 부담으로 작용할 수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셋째, 주가에 이미 커스텀 ASIC 성장이 상당 부분 반영돼 있다. 시총 1조 달러는 "커스텀 ASIC이 GPU 시장의 상당 부분을 가져온다"는 시나리오를 전제로 한 것이다. 커스텀 ASIC 시장 성장이 기대에 못 미치면 밸류에이션 조정이 올 수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"커스텀 ASIC 설계 능력 + 고객 관계"가 핵심 해자다. 이 시장에서 의미 있는 플레이어가 브로드컴과 마벨 2개뿐인 과점 구조 자체가 강력한 진입장벽이다. 여기에 VMware 소프트웨어의 스티키한 매출이 사이클 방어막을 더한다. 엔비디아 GPU가 "AI 칩의 기성복"이라면, 브로드컴의 커스텀 ASIC은 "AI 칩의 맞춤 양복"이다. 둘 다 시장이 커지고 있고, 서로 대체재가 아니라 보완재에 가깝다.</w:t>
      </w:r>
    </w:p>
    <w:p w:rsidR="00613E97" w:rsidRPr="00F3770B" w:rsidRDefault="00613E97" w:rsidP="00613E97">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마벨 (Marvell Technology, MRVL)</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lastRenderedPageBreak/>
        <w:t>커스텀 ASIC 설계 / 데이터센터 네트워킹</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시가총액 약 670억~770억 달러(약 95조~109조 원). 한국 투자자에게는 낯선 이름이지만, AI 반도체 밸류체인에서 브로드컴과 함께 "커스텀 ASIC 양대 축"을 이루는 핵심 기업이다. 왜 이 기업이 중요한지부터 설명한다.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왜 마벨인가</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PART 1에서 설명한 것처럼, 하이퍼스케일러들은 엔비디아 GPU 의존도를 낮추기 위해 자체 AI 칩(커스텀 ASIC)을 개발하고 있다. 구글, 아마존, 메타, 마이크로소프트 모두 자체 칩 프로젝트가 있다. 그런데 이 기업들이 칩 설계를 처음부터 끝까지 혼자 하는 건 아니다. 칩 아키텍처 설계, IP 라이선스, 물리적 레이아웃 최적화, 패키징 설계 등을 전문 기업에 맡긴다.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이 일을 할 수 있는 기업이 전 세계에 두 곳뿐이다. 브로드컴과 마벨. 브로드컴이 구글을 잡았다면, 마벨은 아마존과 마이크로소프트를 잡았다. 고객이 겹치지 않는다. 즉, 커스텀 ASIC 시장이 커질수록 브로드컴과 마벨이 나란히 성장하는 구조다.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트렌드포스에 따르면 2026년 커스텀 ASIC 출하량 성장률은 44.6%로, GPU 출하량 성장률(16.1%)을 크게 앞선다. 이 성장의 수혜가 브로드컴과 마벨 두 곳에 집중된다.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FY2025(2024.2~2025.1) 연간 매출 약 57억 달러. 브로드컴(639억 달러)의 약 9분의 1 규모다. 데이터센터 부문이 전체 매출의 70% 이상을 차지하며, 분기별로 전년 대비 50%+ 성장세를 보이고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규모는 작지만 성장률이 가파르다. 커스텀 ASIC과 데이터센터 인터커넥트(칩 간 연결 기술) 수요가 급증하면서 매 분기 성장률이 확대되고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 xml:space="preserve">첫째, 아마존(트레이니움)과 마이크로소프트(마이아)의 커스텀 ASIC 설계 파트너. 이 두 하이퍼스케일러의 자체 AI 칩 프로젝트가 성장할수록 마벨의 매출이 직접 늘어난다. 아마존의 </w:t>
      </w:r>
      <w:r w:rsidRPr="00F3770B">
        <w:rPr>
          <w:rFonts w:ascii="Pretendard Medium" w:eastAsia="Pretendard Medium" w:hAnsi="Pretendard Medium"/>
        </w:rPr>
        <w:lastRenderedPageBreak/>
        <w:t>트레이니움3, 마이크로소프트의 차세대 마이아 칩 개발이 진행 중이며, 마벨이 핵심 설계 파트너로 참여하고 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데이터센터 인터커넥트(DSP, SerDes 등) 분야의 기술 리더십. AI 데이터센터에서 GPU끼리, 서버끼리 데이터를 주고받을 때 필요한 고속 연결 칩을 만든다. 엔비디아 NVLink가 랙 내부 연결이라면, 마벨의 인터커넥트는 랙과 랙 사이, 서버룸과 서버룸 사이의 연결을 담당한다. AI 데이터센터가 커질수록 이 연결의 중요성과 수요가 동시에 올라간다.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셋째, 고객 포트폴리오가 브로드컴과 겹치지 않는다. 브로드컴이 구글 중심, 마벨이 아마존·마이크로소프트 중심이므로, 커스텀 ASIC 시장의 성장을 양사가 나눠 먹는 구조다. 경쟁이 아니라 분담이다.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첫째, 규모가 작다. 브로드컴 매출의 9분의 1이다. 커스텀 ASIC 개발은 대규모 선행 투자(NRE: Non-Recurring Engineering 비용)가 필요한데, 소규모 기업이 여러 하이퍼스케일러 프로젝트를 동시에 진행하면 리소스가 분산될 수 있다.</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둘째, 밸류에이션이 매출 대비 높다. P/S(주가매출비율) 10배 이상이다. 시장이 커스텀 ASIC 성장을 선반영하고 있으므로, 성장이 기대에 못 미치면 주가 조정 폭이 클 수 있다.</w:t>
      </w:r>
    </w:p>
    <w:p w:rsidR="00613E97"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셋째, 고객 집중도. 아마존과 마이크로소프트 2개 고객에 매출의 상당 부분이 의존한다. 이 고객들이 자체 설계 내재화를 가속하거나 다른 파트너를 추가하면 타격이 있다.</w:t>
      </w:r>
    </w:p>
    <w:p w:rsidR="00F3770B" w:rsidRPr="00F3770B" w:rsidRDefault="00F3770B" w:rsidP="00613E97">
      <w:pPr>
        <w:pStyle w:val="font-claude-response-body"/>
        <w:rPr>
          <w:rFonts w:ascii="Pretendard Medium" w:eastAsia="Pretendard Medium" w:hAnsi="Pretendard Medium"/>
        </w:rPr>
      </w:pPr>
    </w:p>
    <w:p w:rsidR="00613E97" w:rsidRPr="00F3770B" w:rsidRDefault="00613E97" w:rsidP="00613E97">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613E97" w:rsidRPr="00F3770B" w:rsidRDefault="00613E97" w:rsidP="00613E97">
      <w:pPr>
        <w:pStyle w:val="font-claude-response-body"/>
        <w:rPr>
          <w:rFonts w:ascii="Pretendard Medium" w:eastAsia="Pretendard Medium" w:hAnsi="Pretendard Medium"/>
        </w:rPr>
      </w:pPr>
      <w:r w:rsidRPr="00F3770B">
        <w:rPr>
          <w:rFonts w:ascii="Pretendard Medium" w:eastAsia="Pretendard Medium" w:hAnsi="Pretendard Medium"/>
        </w:rPr>
        <w:t>"커스텀 ASIC 과점 구조(브로드컴과 양분)"가 핵심 해자다. 이 시장에 새로운 경쟁자가 진입하기 극히 어렵다. 칩 설계 IP, 하이퍼스케일러와의 신뢰 관계, 수년간 축적된 설계 최적화 노하우가 진입장벽이다. 규모는 작지만 성장 기울기가 가파르고, 고객이 브로드컴과 겹치지 않는 독립적 포지션이 매력적이다.</w:t>
      </w:r>
    </w:p>
    <w:p w:rsidR="00613E97" w:rsidRDefault="00613E97">
      <w:pPr>
        <w:rPr>
          <w:rFonts w:ascii="Pretendard Medium" w:eastAsia="Pretendard Medium" w:hAnsi="Pretendard Medium"/>
        </w:rPr>
      </w:pPr>
    </w:p>
    <w:p w:rsidR="00F3770B" w:rsidRDefault="00F3770B">
      <w:pPr>
        <w:rPr>
          <w:rFonts w:ascii="Pretendard Medium" w:eastAsia="Pretendard Medium" w:hAnsi="Pretendard Medium"/>
        </w:rPr>
      </w:pPr>
    </w:p>
    <w:p w:rsidR="00F3770B" w:rsidRPr="00F3770B" w:rsidRDefault="00F3770B">
      <w:pPr>
        <w:rPr>
          <w:rFonts w:ascii="Pretendard Medium" w:eastAsia="Pretendard Medium" w:hAnsi="Pretendard Medium" w:hint="eastAsia"/>
        </w:rPr>
      </w:pPr>
    </w:p>
    <w:p w:rsidR="00F842D0" w:rsidRPr="00F3770B" w:rsidRDefault="00F842D0" w:rsidP="00F842D0">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PART 3-2. 글로벌 기업 분석 — AI 칩을 만들고 뒷받침하는 기업들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PART 3-1이 칩을 "설계"하는 기업들이었다면, 이 파트는 칩을 직접 "제조"하거나, AI 인프라의 필수 부품(메모리, 스토리지, 모바일 AI)을 공급하는 기업들이다. 인텔(CPU/파운드리), 퀄컴(모바일/엣지 AI), 마이크론(HBM/DRAM), 웨스턴디지털·샌디스크(HDD/NAND SSD) 순서로 간다.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인텔 (Intel, INTC)</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CPU / 파운드리</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시가총액 약 900억 달러(약 128조 원). 한때 세계 반도체 1위였던 기업이 엔비디아 시총의 3% 수준까지 추락했다. 그러나 "미국 유일의 대형 파운드리"라는 전략적 위치 때문에 미국 정부가 이 회사를 살리는 데 국가적 역량을 투입하고 있다. 인텔은 투자 대상이라기보다 산업 구조를 이해하기 위해 반드시 알아야 하는 기업이다.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2025년 연간 매출 약 533억 달러, GAAP 영업이익은 사실상 손익분기 수준이다. Q4 2025 매출 137억 달러(전년 대비 -4%), GAAP 영업이익률 4.2%. Non-GAAP 기준으로도 영업이익률 8.8%에 불과하다. 엔비디아의 영업이익률 60%, TSMC의 50%와 비교하면 처참한 수준이다.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사업부별로 보면 상황이 더 명확하다. 클라이언트 컴퓨팅(PC CPU)이 여전히 최대 매출원이지만 AMD에 점유율을 계속 빼앗기고 있다. 데이터센터/AI 부문(DCAI)은 서버 CPU에서 AMD EPYC에 밀리고 있고, AI 가속기(Gaudi)는 시장 점유율이 사실상 0에 가깝다. 파운드리 사업(IFS)은 대규모 적자 상태로, 외부 고객 확보가 과제다.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2026년 매출 컨센서스는 500억 달러대로, 성장보다는 구조조정과 턴어라운드에 초점이 맞춰져 있다.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"미국 유일의 대형 파운드리"라는 지정학적 가치. 전 세계 첨단 반도체의 90% 이상이 대만 TSMC에서 만들어진다. 중국-대만 긴장이 고조될 경우 이 공급망이 마비될 수 있다. 미국 정부 입장에서 자국 내 첨단 파운드리가 반드시 필요하고, 그 역할을 할 수 있는 기업이 인텔뿐이다. CHIPS Act를 통해 수십억 달러의 보조금이 인텔에 투입되고 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둘째, 18A(1.8nm급) 공정의 진전. 수율이 매달 7%씩 개선되고 있다는 보고가 나오고 있다. 2nm 수준의 공정이 안정화되면, TSMC와 삼성에 이은 세계 3위 첨단 파운드리로 자리매김할 수 있다. 마이크로소프트와 아마존이 인텔 파운드리에 위탁생산 계약을 맺은 상태다.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셋째, 엔비디아의 투자. GTC 2026에서 엔비디아가 인텔에 50억 달러를 투자하고, Intel Xeon 6 CPU가 DGX Rubin NVL8 시스템에 탑재된다고 발표했다. 엔비디아 입장에서도 TSMC 의존도를 낮추기 위해 대안 파운드리가 필요하고, 인텔이 그 후보다.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솔직히 말하면 약점이 너무 많다.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첫째, 파운드리 사업이 아직 대규모 적자다. 외부 고객이 마이크로소프트, 아마존 정도인데, 애플, 퀄컴 같은 대형 팹리스를 확보하지 못했다. TSMC 수율 80%+ 대비 인텔 18A 수율은 아직 초기 단계다. 파운드리 비즈니스는 수율이 곧 수익성인데, 수율이 안 나오면 매출이 있어도 적자다.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둘째, 기존 주력인 PC/서버 CPU에서 AMD에 점유율을 계속 빼앗기고 있다. 서버 CPU 시장에서 AMD EPYC이 클라우드 인스턴스 1,350개 이상을 확보하며 매 분기 점유율을 늘리고 있다. 인텔의 서버 CPU 점유율은 2019년 95%에서 2025년 60%대로 하락했다.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셋째, AI 가속기 시장에서 존재감이 거의 없다. Gaudi 시리즈를 출시했지만, 엔비디아 GPU나 AMD MI300 대비 성능과 생태계 모두 열위다. 하이퍼스케일러 중 Gaudi를 대규모 도입한 곳이 없다.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넷째, CEO 교체 후 전략 방향이 아직 확립되지 않았다. 팻 겔싱어에서 립부 탄으로 CEO가 교체됐는데, 파운드리 분사 가능성도 거론되고 있다. 전략적 불확실성이 높은 상태다.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lastRenderedPageBreak/>
        <w:t>솔직히 인텔의 해자는 "기술 우위"가 아니라 "미국 정부의 전략적 지원"이다. 인텔이 무너지면 미국 내 첨단 파운드리가 사라지므로, 미국 정부가 보조금과 정책으로 인텔을 지탱할 유인이 있다. x86 CPU 생태계도 여전히 존재하지만, AMD와 ARM 진영에 잠식당하고 있다. 인텔은 "턴어라운드 베팅"의 영역이다. 18A 공정이 안정화되고, 대형 외부 고객을 확보하면 리레이팅 가능성이 있지만, 현재로서는 불확실성이 극히 높다.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퀄컴 (Qualcomm, QCOM)</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ARM 칩 / 모바일 AP / 엣지 AI</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시가총액 약 1,700억 달러(약 242조 원). 데이터센터 AI 반도체와는 직접적 관련이 약하지만, "엣지 AI"라는 장기 성장 축과, 삼성전자 파운드리의 핵심 고객이라는 점에서 이 보고서에 포함한다.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FY2025(2024.10~2025.9) 매출 약 420억 달러, Non-GAAP 영업이익률 약 30%. 스마트폰 AP(스냅드래곤) 매출이 전체의 60% 이상을 차지하고, 자동차용 칩(QCT Automotive)과 IoT 부문이 성장 중이다.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Q1 FY2026(2025.10~12) 매출 약 114억 달러. 스냅드래곤 X 시리즈가 AI PC 시장에서 존재감을 키우고 있지만, 전체 매출에서 차지하는 비중은 아직 작다.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첫째, ARM 기반 칩 설계에서의 압도적 기술력. 전 세계 프리미엄 안드로이드 스마트폰의 대부분이 퀄컴 스냅드래곤 칩을 사용한다. 5G 통신 모뎀 IP에서도 독보적이다. 모바일 AP와 모뎀을 하나의 칩에 통합하는 기술은 퀄컴만이 가능한 수준이다.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 xml:space="preserve">둘째, 엣지 AI 시장의 핵심 플레이어. 데이터센터에서 AI를 돌리는 것(클라우드 AI)과 달리, 스마트폰·PC·자동차에서 AI를 직접 돌리는 것이 "엣지 AI"다. 스냅드래곤 X Elite가 AI PC 시장을 개척하고 있고, 자동차 디지털 콕핏 칩에서도 점유율을 확대 중이다. 딜로이트에 </w:t>
      </w:r>
      <w:r w:rsidRPr="00F3770B">
        <w:rPr>
          <w:rFonts w:ascii="Pretendard Medium" w:eastAsia="Pretendard Medium" w:hAnsi="Pretendard Medium"/>
        </w:rPr>
        <w:lastRenderedPageBreak/>
        <w:t>따르면 2025년 수억 대의 AI 가속 기능 탑재 PC와 스마트폰이 출하됐다. 이 기기들의 상당수에 퀄컴 칩이 들어간다.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셋째, 삼성전자 파운드리의 핵심 고객. 퀄컴 CEO 크리스티아노 아몬이 "삼성전자와 가장 먼저 2nm 위탁생산 논의를 시작했다"고 밝혔다. TSMC가 포화 상태에서 가격을 올리는 상황에서, 퀄컴이 삼성 파운드리로 일부 물량을 돌리면 삼성 파운드리 실적에 직접 영향을 준다. 한국 투자자 관점에서 퀄컴의 삼성 파운드리 발주 동향은 삼성전자 파운드리 턴어라운드의 핵심 변수다.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첫째, 데이터센터 AI 시장에서의 존재감이 거의 없다. 이 보고서의 핵심 주제인 데이터센터 AI 반도체 밸류체인에서 퀄컴의 직접적 영향은 제한적이다. Nuvia 인수(2021년)로 서버용 ARM CPU 개발을 시도했지만, 이 시장에서 의미 있는 매출을 만들지 못하고 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둘째, 애플의 자체 모뎀 칩 개발. 애플이 퀄컴 모뎀 의존도를 낮추기 위해 자체 5G 모뎀 칩을 개발하고 있다. 아이폰은 퀄컴 모뎀 매출의 상당 부분을 차지하므로, 애플의 자체 모뎀 전환은 퀄컴에 구조적 리스크다.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셋째, ARM 라이선스 분쟁. ARM과 퀄컴 사이에 Nuvia 인수와 관련된 라이선스 소송이 진행 중이다. ARM이 퀄컴의 Nuvia 기반 칩에 대해 별도 라이선스를 요구하고 있어 불확실성이 존재한다.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모바일 AP + 5G 모뎀 통합 칩 설계 능력이 해자다. AI 반도체 관점에서는 직접 수혜보다는 "엣지 AI 장기 성장"과 "삼성 파운드리 고객"이라는 간접 연결이 더 중요하다. 데이터센터 AI에 직접 베팅하려는 투자자에게는 우선순위가 낮지만, 엣지 AI·삼성 파운드리 테마에 관심이 있다면 주시할 기업이다.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마이크론 (Micron Technology, MU)</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HBM / DRAM / NAND</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lastRenderedPageBreak/>
        <w:t>미국 유일의 메모리 반도체 제조사다.</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FY2025(2024.9~2025.8) 연간 매출 374억 달러(전년 대비 +49%), 순이익 약 85억 달러. 데이터센터 부문이 역대 최고치를 경신했다. FQ1 FY26(2025.9~11) 매출 136.4억 달러(전년 대비 +57%), Non-GAAP 순이익 약 35억 달러. CEO 산재이 메흐로트라는 "마이크론 역사상 최고의 회계연도를 마감했다"고 밝혔다.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FY2025 매출 374억 달러는 전년(251억 달러) 대비 49% 증가한 수치다. 이 폭발적 성장의 배경은 DRAM 가격 반등과 HBM 수요 급증이다. 특히 데이터센터향 매출이 전체의 50% 이상을 차지하며 사상 최고를 기록했다.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첫째, 미국 유일의 메모리 IDM. SK하이닉스(한국), 삼성전자(한국) 다음으로 전 세계에서 세 번째로 HBM, DRAM, NAND를 모두 생산할 수 있는 기업이다. 미국 정부의 반도체 자국 생산 정책(CHIPS Act) 수혜를 직접 받는다. 지정학적 리스크가 고조될수록 "미국 내 메모리 생산 역량"의 전략적 가치가 올라간다.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둘째, HBM3E 엔비디아 공급 확보. 엔비디아 블랙웰에 HBM3E를 납품하고 있다. 2026년 HBM 시장 점유율 22%(트렌드포스)로 3위다. SK하이닉스(50%)와 삼성(28%)에 비해 점유율은 작지만, 엔비디아의 공급선 다변화 전략상 마이크론의 HBM도 안정적 수요가 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셋째, NAND에서도 강한 포지션. AI 데이터센터에는 GPU와 HBM만 필요한 게 아니다. 학습 데이터를 저장하고, 모델 파라미터를 캐싱하고, 추론 결과를 기록하는 대용량 스토리지가 필수다. 마이크론의 데이터센터용 SSD(NAND 기반)가 이 수요를 직접 받는다.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넷째, HBM/DRAM/NAND 포트폴리오의 폭. SK하이닉스가 HBM에 집중하고, 샌디스크가 NAND에 집중한다면, 마이크론은 세 분야를 모두 커버한다. AI 서버 한 대에 필요한 메모리 부품 대부분을 마이크론 하나에서 조달할 수 있다는 것은 고객 입장에서 편리한 구조다.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HBM4 재설계 이슈. 이것이 가장 큰 문제다. HBM4 양산에서 SK하이닉스와 삼성보다 늦어지면서, 엔비디아 루빈 초기 공급에서 이탈할 가능성이 제기됐다. HBM 시장은 "먼저 품질 검증(Qual)을 통과한 기업이 물량을 가져가는" 구조이므로, 양산 시점의 지연은 점유율 하락으로 직결된다.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둘째, HBM 시장에서 SK하이닉스와의 기술 격차. SK하이닉스의 2025년 영업이익률은 49%인데, 마이크론의 메모리 부문 영업이익률은 이보다 낮다. HBM 수율과 양산 안정성에서 SK하이닉스가 앞서 있고, 이 격차가 곧 수익성 격차다.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셋째, 메모리 산업 특유의 사이클 리스크. DRAM과 NAND 가격은 수요-공급에 따라 주기적으로 급등·급락한다. HBM은 일반 DRAM보다 사이클 저항성이 높지만, 전통 DRAM과 NAND는 여전히 가격 변동에 노출돼 있다. AI 수요가 사이클을 완화시키고 있지만, 완전히 없애지는 못한다.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"미국 유일 메모리 IDM"이라는 지정학적 포지션이 가장 강력한 해자다. 기술 리더십은 SK하이닉스와 삼성에 비해 열위에 있으므로, 해자의 성격이 "기술 우위"보다는 "전략적 가치"에 가깝다. 밸류에이션은 SK하이닉스 대비 할인 거래되고 있는데, 이 할인이 HBM4 양산 정상화 시 축소될 여지가 있는지가 마이크론 투자의 핵심 질문이다.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웨스턴디지털 (Western Digital, WDC) / 샌디스크 (SanDisk, SNDK)</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HDD / NAND 플래시 SSD</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2025년 2월 웨스턴디지털이 HDD 사업(웨스턴디지털)과 NAND 플래시 사업(샌디스크)으로 분사했다. 두 회사를 같이 다루는 이유는 AI 데이터센터의 스토리지 수요 구조를 이해하기 위해서다.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AI가 GPU와 HBM만 먹는 게 아니다. AI 모델을 학습시키려면 수조 개의 데이터를 저장해야 하고, 학습된 모델의 파라미터를 보관해야 하고, 추론 과정에서 생성된 결과를 기록해야 한다. 이 모든 것에 스토리지가 필요하다. 데이터센터에서 "핫 데이터"(자주 접근하는 데이터)는 SSD(NAND 플래시)에, "웜/콜드 데이터"(대용량 장기 보관)는 HDD에 저장하는 구조다. AI 시대에 두 종류의 스토리지 수요가 동시에 폭발하고 있다.</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웨스턴디지털 (WDC)</w:t>
      </w:r>
      <w:r w:rsidRPr="00F3770B">
        <w:rPr>
          <w:rFonts w:ascii="Pretendard Medium" w:eastAsia="Pretendard Medium" w:hAnsi="Pretendard Medium"/>
        </w:rPr>
        <w:t xml:space="preserve"> — HDD 전문</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시가총액 약 200억 달러(약 28조 원). 분사 후 순수 HDD 기업이 됐다.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FQ1 FY2026(2025.7~9) 매출 28.2억 달러(전년 대비 +27%), GAAP 영업이익률 28.1%. 클라우드(데이터센터) 매출이 전체의 약 89%를 차지하며, 하이퍼스케일러와 AI 데이터센터 수요가 성장을 이끌고 있다. FQ2 FY2026(2025.10~12) 매출 30.2억 달러(전년 대비 +25%), Non-GAAP 영업이익률 약 30%.</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HDD 용량이 2026년 전량 매진(sold out) 상태라는 점이 주목할 만하다. 하이퍼스케일러들의 AI 데이터 저장 수요가 폭발하면서, HDD 공급이 수요를 따라가지 못하고 있다. UltraSMR과 HAMR(열보조 자기기록) 기술로 단일 드라이브 용량을 30TB 이상으로 끌어올렸고, AI 데이터 레이크용 대용량 스토리지 시장을 주도하고 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핵심 강점은 HDD 시장의 과점 구조다. 전 세계 HDD를 만드는 회사가 웨스턴디지털, 시게이트(Seagate), 도시바 3곳뿐이다. 웨스턴디지털이 니어라인(데이터센터용) 시장에서 약 48% 점유율로 1위다. 3사 과점 구조이므로 가격 결정력이 있고, AI 수요 폭발 속에서 수요 &gt; 공급 상태가 지속되면서 마진이 확대되고 있다.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핵심 약점은 HDD 시장 자체의 장기 성장성에 대한 의문이다. SSD(NAND) 가격이 계속 하락하면 HDD를 대체할 가능성이 있다. 다만 현재로서는 TB당 단가에서 HDD가 SSD보다 5~10배 저렴하고, AI 시대에 저장해야 하는 데이터 총량이 기하급수적으로 늘어나고 있어 대체 시점이 빠르지는 않을 전망이다.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샌디스크 (SNDK)</w:t>
      </w:r>
      <w:r w:rsidRPr="00F3770B">
        <w:rPr>
          <w:rFonts w:ascii="Pretendard Medium" w:eastAsia="Pretendard Medium" w:hAnsi="Pretendard Medium"/>
        </w:rPr>
        <w:t xml:space="preserve"> — NAND 플래시 전문</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2025년 2월 분사 후 시가총액이 약 380달러에서 출발해 2025년 말 248달러까지 올라 559% 상승했다. 분사 후 S&amp;P 500에 편입됐다.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FY2025(2024.7~2025.6) 매출 74억 달러, 매출총이익률 22%에서 30.1%로 1년 만에 8%p 개선됐다. FQ1 FY2026(2025.7~9) 매출 23.1억 달러(전년 대비 +23%), 데이터센터 매출이 전분기 대비 26% 성장했다. FQ2 가이던스는 매출 25.5억~26.5억 달러로, 전년 대비 약 39% 성장이 전망된다.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 xml:space="preserve">핵심 강점은 BiCS8 QLC(4비트) NAND 기술이다. 단일 SSD 128TB 용량의 엔터프라이즈 SSD(DC SN670 시리즈)를 출시했다. AI 데이터센터에서 추론 캐싱, 모델 파라미터 저장 등에 고용량 SSD 수요가 급증하고 있다. 하이퍼스케일러 2곳이 품질 검증 중이고, 2026년 </w:t>
      </w:r>
      <w:r w:rsidRPr="00F3770B">
        <w:rPr>
          <w:rFonts w:ascii="Pretendard Medium" w:eastAsia="Pretendard Medium" w:hAnsi="Pretendard Medium"/>
        </w:rPr>
        <w:lastRenderedPageBreak/>
        <w:t>중 3곳 추가 검증과 대형 스토리지 OEM 납품이 계획돼 있다. CEO 데이비드 괴클러는 "우리 기술이 정확히 적시에 도착하고 있다. 2026년 내내 수요가 공급을 초과할 것"이라고 밝혔다.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핵심 약점은 NAND 가격 변동성이다. NAND는 DRAM과 마찬가지로 수급 사이클에 민감하다. 2023~2024년 NAND 공급 과잉으로 가격이 폭락해 업계 전체가 적자에 빠졌던 전례가 있다. 현재는 AI 수요로 공급 부족 상태이지만, 공급이 늘어나면 다시 가격 경쟁이 재연될 수 있다. 또한 삼성전자와 SK하이닉스(키오시아 지분 보유)도 NAND를 생산하므로, 경쟁 구도가 메모리 산업 특유의 치킨게임 구조를 갖고 있다.</w:t>
      </w:r>
    </w:p>
    <w:p w:rsidR="00F3770B" w:rsidRPr="00F3770B" w:rsidRDefault="00F3770B"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투자 관점에서 웨스턴디지털·샌디스크의 의미</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이 두 기업은 AI 반도체 밸류체인에서 "스토리지"라는 보이지 않는 수혜를 대표한다. 투자자들이 GPU, HBM에 집중하는 사이, AI 데이터센터의 스토리지 수요도 함께 폭발하고 있다. 웨스턴디지털의 HDD가 2026년 전량 매진이라는 사실, 샌디스크의 데이터센터 매출이 분기 26%씩 성장하고 있다는 사실이 이를 보여준다. GPU가 AI의 "두뇌"라면, 스토리지는 AI의 "기억"이다. 두뇌가 커질수록 기억 용량도 따라서 커져야 한다.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PART 4에서는 대만(TSMC), 유럽·일본 장비 기업(ASML, Applied Materials, Lam Research, Tokyo Electron), 네트워킹·광통신(Arista Networks, Corning), 중국(화웨이/SMIC/CXMT)을 분석하고, 글로벌 밸류에이션 비교로 마무리한다.</w:t>
      </w:r>
    </w:p>
    <w:p w:rsidR="00F842D0" w:rsidRPr="00F3770B" w:rsidRDefault="00F842D0">
      <w:pPr>
        <w:rPr>
          <w:rFonts w:ascii="Pretendard Medium" w:eastAsia="Pretendard Medium" w:hAnsi="Pretendard Medium"/>
        </w:rPr>
      </w:pPr>
    </w:p>
    <w:p w:rsidR="00A866DC" w:rsidRDefault="00A866DC" w:rsidP="00F842D0">
      <w:pPr>
        <w:pStyle w:val="font-claude-response-body"/>
        <w:rPr>
          <w:rStyle w:val="a3"/>
          <w:rFonts w:ascii="Pretendard Medium" w:eastAsia="Pretendard Medium" w:hAnsi="Pretendard Medium"/>
        </w:rPr>
      </w:pPr>
    </w:p>
    <w:p w:rsidR="00A866DC" w:rsidRDefault="00A866DC" w:rsidP="00F842D0">
      <w:pPr>
        <w:pStyle w:val="font-claude-response-body"/>
        <w:rPr>
          <w:rStyle w:val="a3"/>
          <w:rFonts w:ascii="Pretendard Medium" w:eastAsia="Pretendard Medium" w:hAnsi="Pretendard Medium"/>
        </w:rPr>
      </w:pPr>
    </w:p>
    <w:p w:rsidR="00A866DC" w:rsidRDefault="00A866DC" w:rsidP="00F842D0">
      <w:pPr>
        <w:pStyle w:val="font-claude-response-body"/>
        <w:rPr>
          <w:rStyle w:val="a3"/>
          <w:rFonts w:ascii="Pretendard Medium" w:eastAsia="Pretendard Medium" w:hAnsi="Pretendard Medium"/>
        </w:rPr>
      </w:pPr>
    </w:p>
    <w:p w:rsidR="00A866DC" w:rsidRDefault="00A866DC" w:rsidP="00F842D0">
      <w:pPr>
        <w:pStyle w:val="font-claude-response-body"/>
        <w:rPr>
          <w:rStyle w:val="a3"/>
          <w:rFonts w:ascii="Pretendard Medium" w:eastAsia="Pretendard Medium" w:hAnsi="Pretendard Medium"/>
        </w:rPr>
      </w:pPr>
    </w:p>
    <w:p w:rsidR="00A866DC" w:rsidRDefault="00A866DC" w:rsidP="00F842D0">
      <w:pPr>
        <w:pStyle w:val="font-claude-response-body"/>
        <w:rPr>
          <w:rStyle w:val="a3"/>
          <w:rFonts w:ascii="Pretendard Medium" w:eastAsia="Pretendard Medium" w:hAnsi="Pretendard Medium"/>
        </w:rPr>
      </w:pPr>
    </w:p>
    <w:p w:rsidR="00A866DC" w:rsidRDefault="00A866DC" w:rsidP="00F842D0">
      <w:pPr>
        <w:pStyle w:val="font-claude-response-body"/>
        <w:rPr>
          <w:rStyle w:val="a3"/>
          <w:rFonts w:ascii="Pretendard Medium" w:eastAsia="Pretendard Medium" w:hAnsi="Pretendard Medium"/>
        </w:rPr>
      </w:pPr>
    </w:p>
    <w:p w:rsidR="00F842D0" w:rsidRPr="00A866DC" w:rsidRDefault="00F842D0" w:rsidP="00F842D0">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4. 글로벌 기업 분석 — 대만·유럽·일본·네트워킹·중국</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TSMC (Taiwan Semiconductor Manufacturing, TSM)</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파운드리 / 첨단 패키징</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시가총액 약 1조 6,500억 달러(약 2,350조 원). 전 세계에서 6번째로 비싼 기업이다. AI 반도체 밸류체인에서 TSMC의 위치를 한마디로 요약하면 이렇다. "엔비디아가 설계한 GPU를 실제로 만들 수 있는 곳은 지구상에 여기뿐이다."</w:t>
      </w:r>
    </w:p>
    <w:p w:rsidR="00A866DC" w:rsidRPr="00F3770B" w:rsidRDefault="00A866DC"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2025년 연간 매출 약 1,229억 달러(NT$3.809조, 전년 대비 +31.6%), 매출총이익률 59.9%(전년 대비 +3.8%p), 순이익 약 554억 달러(NT$1.718조). EPS NT$66.25로 역대 최고치를 경신했다. 첨단 공정(7nm 이하)이 전체 웨이퍼 매출의 69%를 차지한다. AI 가속기 관련 매출이 전체의 17~19%에 달하며 가장 빠르게 성장하는 영역이다.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Q1 2026 가이던스는 매출 346억~358억 달러로 역대 최고치 경신 전망이다. 매출총이익률 63~65%, 영업이익률 54~56%가 예상된다.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2026년 CAPEX는 520억~560억 달러로 전년(409억 달러) 대비 약 30% 증가한다. 역대 최고 수준이다. 이 중 70~80%가 첨단 공정, 10~20%가 첨단 패키징·테스트·마스크에 투입된다. 향후 3년간 누적 CAPEX가 1,500억 달러를 넘을 전망이다.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CC웨이 CEO는 "AI 가속기 관련 매출의 2024~2029년 CAGR을 기존 45%에서 54~56%로 상향한다"고 밝혔다. AI 수요 둔화의 징후가 전혀 없으며, 2026년도 강한 성장이 이어질 것이라고 했다. 전사 매출 CAGR도 기존 20%에서 25%로 상향했다.</w:t>
      </w:r>
    </w:p>
    <w:p w:rsidR="00A866DC" w:rsidRPr="00F3770B" w:rsidRDefault="00A866DC"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 xml:space="preserve">첫째, 첨단 공정 독점에 가까운 지배력. 파운드리 시장 점유율 66~72%(측정 기준에 따라 다름), 첨단 AI 칩(7nm 이하) 분야에서 90% 이상이다. 엔비디아 루빈(3nm), AMD MI450(2nm), 애플 칩, 퀄컴 스냅드래곤, 브로드컴 커스텀 ASIC 전부 TSMC에서 찍힌다. </w:t>
      </w:r>
      <w:r w:rsidRPr="00F3770B">
        <w:rPr>
          <w:rFonts w:ascii="Pretendard Medium" w:eastAsia="Pretendard Medium" w:hAnsi="Pretendard Medium"/>
        </w:rPr>
        <w:lastRenderedPageBreak/>
        <w:t>경쟁사(삼성 파운드리)와의 수율 격차가 20%p 이상이다. TSMC 2nm 수율 80%+, 삼성 2nm 수율 60%대. 이 수율 차이가 곧 원가 차이이고, 고객은 원가가 낮고 안정적인 TSMC를 선택할 수밖에 없다.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둘째, CoWoS 패키징 라인 확장. AI 반도체의 핵심 병목 중 하나가 CoWoS 패키징 용량이다. TSMC의 CoWoS 월 생산능력은 2024년 약 3만 장에서 2025년 7만~8만 장으로 2배 이상 늘었고, 2026년 말까지 11만~12.5만 장으로 확대될 전망이다(번스타인, 트렌드포스 추정). 이 물량이 전부 사전 예약된 상태라는 점이 중요하다. TSMC CEO도 "프론트엔드, 백엔드 모두 매우 타이트하다. 수요와 공급의 갭을 좁히기 위해 매우 노력하고 있다"고 실적 발표에서 반복적으로 강조했다.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셋째, 가격 결정력. 2026년 첨단 공정 웨이퍼 가격을 5~20% 인상할 예정이라는 보도가 나왔다. 고객 입장에서 대안이 없으므로 가격 인상을 받아들일 수밖에 없다. 4년 연속 가격 인상이다. 독점에 가까운 점유율 + 수요 초과 상태가 만들어낸 구조적 프리미엄으로, 매출총이익률 60%, 영업이익률 50% 이상이라는 제조업 역대 최고 수준의 마진이 유지되고 있다.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넷째, 기술 로드맵. 2nm(N2)가 2025년 하반기 양산 시작, 2026년 스마트폰과 HPC AI 양쪽에서 본격 램프업된다. N2P(성능 강화판)가 2026년 하반기 양산, A16(백사이드 전력공급 기술 적용, HPC 전용)이 2026년 하반기 양산 예정이다. "거의 모든 IC 혁신 기업이 TSMC와 작업하고 있다"는 CEO의 발언이 기술 리더십의 증거다.</w:t>
      </w:r>
    </w:p>
    <w:p w:rsidR="00A866DC" w:rsidRPr="00F3770B" w:rsidRDefault="00A866DC"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첫째, 지정학적 리스크. 대만 해협 긴장이 고조될 경우, 전 세계 첨단 반도체 공급이 마비될 수 있다. 이 리스크는 TSMC 주가에 항상 "지정학 디스카운트"로 반영된다. 미국 애리조나, 일본 구마모토, 독일 드레스덴에 공장을 짓고 있지만, 최첨단 공정(2nm, A16)은 당분간 대만 본토에서만 양산된다.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둘째, 미국 공장의 비용 구조. 애리조나 공장의 인건비와 운영비가 대만 대비 50% 이상 높다는 분석이 있다. 미국 정부 보조금(CHIPS Act)이 이를 일부 상쇄하지만, 장기적으로 해외 공장 확대가 마진에 부담을 줄 수 있다. TSMC도 2026년 마진 가이던스에서 "해외 팹 초기 비용"과 "2nm 램프업 희석 효과"를 언급했다.</w:t>
      </w:r>
    </w:p>
    <w:p w:rsidR="00F842D0"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lastRenderedPageBreak/>
        <w:t>셋째, 고객 집중도. 애플과 엔비디아가 TSMC 매출의 상당 부분을 차지한다. 이 두 고객의 수요가 동시에 둔화되면 TSMC도 타격을 받는다. 다만 두 고객 모두 향후 수년간 강한 수요가 예상되므로, 현재 시점에서 이 리스크가 현실화될 가능성은 낮다.</w:t>
      </w:r>
    </w:p>
    <w:p w:rsidR="00A866DC" w:rsidRPr="00F3770B" w:rsidRDefault="00A866DC" w:rsidP="00F842D0">
      <w:pPr>
        <w:pStyle w:val="font-claude-response-body"/>
        <w:rPr>
          <w:rFonts w:ascii="Pretendard Medium" w:eastAsia="Pretendard Medium" w:hAnsi="Pretendard Medium"/>
        </w:rPr>
      </w:pP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"기술 독점 + 수율 격차 + CoWoS 병목 지배 + 가격 결정력"이 해자다. 경쟁사(삼성, 인텔)가 기술을 따라잡으려면 최소 3~5년이 필요하고, 그 사이 TSMC는 이미 다음 세대로 넘어간다. TSMC의 해자는 "시간"이다. 돈이 있어도 시간을 살 수 없다. 반도체 제조의 TSMC 의존도는 오히려 시간이 갈수록 심화되고 있다.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ASML (ASML Holding, ASML)</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EUV 노광 장비 / 세계 유일 공급자</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시가총액 약 3,000억 달러(약 426조 원). 네덜란드 소재.</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ASML은 PART 1 용어 사전에서 설명한 대로, 7nm 이하 첨단 반도체 공정에 필수적인 EUV 노광 장비를 전 세계에서 유일하게 만드는 회사다. 장비 1대 가격이 약 2,000억 원(EUV), 최신형 High-NA EUV는 약 4,000억 원이다.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2024년 매출 약 282억 유로, 영업이익률 35%대다. 수주잔고(백로그)가 약 360억 유로 수준으로 2년 이상의 매출 가시성이 확보돼 있다. 2025~2026년에도 AI 수요에 따른 첨단 팹 증설로 EUV 장비 수요가 강하게 유지될 전망이다.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핵심 강점은 독점이라는 단어 자체다. 경쟁사가 없다. DUV(심자외선) 장비는 니콘, 캐논과 경쟁하지만, EUV 장비를 만들 수 있는 회사는 ASML뿐이다. TSMC, 삼성, 인텔이 첨단 팹을 짓기 위해서는 반드시 ASML에서 장비를 사야 한다. 여기에 장비 납품 후에도 연간 유지보수 계약(서비스 매출)이 발생해서, "인스톨드 베이스"가 쌓일수록 안정적 반복 매출이 커진다. ASML 전체 매출의 약 30%가 서비스 매출이다.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 xml:space="preserve">핵심 약점은 중국 수출 통제의 양면성이다. 미국과 네덜란드가 EUV의 대중국 수출을 차단했고, DUV 일부 장비도 제한을 강화하고 있다. 이는 중국 매출 감소로 이어지지만, 동시에 TSMC·삼성·인텔의 장비 수요가 중국 물량을 대체하고 있어 전체 매출에 대한 영향은 제한적이다. 다만 2024년 ASML의 DUV 장비 판매 중 중국 비중이 70%에 달했다는 </w:t>
      </w:r>
      <w:r w:rsidRPr="00F3770B">
        <w:rPr>
          <w:rFonts w:ascii="Pretendard Medium" w:eastAsia="Pretendard Medium" w:hAnsi="Pretendard Medium"/>
        </w:rPr>
        <w:lastRenderedPageBreak/>
        <w:t>CNAS 보고서가 있어, DUV 장비까지 제한이 확대되면 매출 타격이 있을 수 있다. 밸류에이션도 P/E 30배 이상으로 높은 편이다.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경제적 해자는 "전 세계에서 만들 수 있는 곳이 여기뿐"이라는 기술 독점 그 자체다. EUV 장비는 독일의 칼자이스(광학계), 미국의 시머(Cymer, 광원) 등 수백 개 부품사의 정밀 부품이 통합된 초복합 시스템이며, 이 공급망 전체를 조율하는 능력이 ASML에만 있다. 중국이 자체 EUV 프로토타입을 개발했다는 보도가 있지만 상용화까지는 2028~2030년 이후로 추정된다.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Applied Materials (AMAT) / Lam Research (LRCX) / Tokyo Electron (8035.T)</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반도체 장비 — 식각·증착·코터</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이 세 기업을 묶어서 다루는 이유는, 반도체 전공정 장비 시장을 사실상 이 3사(+ ASML, KLA)가 과점하고 있기 때문이다.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Applied Materials는 식각·증착·CMP(화학적기계적연마) 장비에서 글로벌 1~2위다. 2024년 매출 약 271억 달러, 영업이익률 약 29%다. GAA 전환에 따른 증착·식각 장비 수요 증가의 직접 수혜를 받는다.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Lam Research는 식각 장비에서 글로벌 1위, 증착에서도 강한 포지션이다. 2024년 매출 약 168억 달러, 영업이익률 약 30%다. NAND 3D 적층(200단 이상)에서 Lam의 식각 기술이 핵심 병목을 해결하는 위치에 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Tokyo Electron은 코터/디벨로퍼(감광막 도포·현상) 장비에서 글로벌 1위, 배치CVD에서도 강하다. 2024년(FY2025) 매출 약 2조 엔(약 130억 달러), 영업이익률 약 30%다. 일본 반도체 장비 산업을 대표하는 기업이다.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이 세 기업의 공통 특징은 "기술 독점 + 장기 수주 사이클 + 고마진"이다. 한번 도입한 장비는 수년간 유지보수 매출이 발생하고, 고객이 장비사를 교체하는 것이 극히 어렵다. TSMC가 특정 장비사의 식각 장비로 공정을 최적화하면, 같은 장비를 계속 쓸 수밖에 없기 때문이다. 영업이익률이 25~30%대로 안정적이고, AI 수요에 따른 첨단 팹 증설과 GAA 전환이 장비 수요를 구조적으로 밀어올리고 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 xml:space="preserve">한국 투자자 관점에서 이 기업들이 중요한 이유는 비교 대상 때문이다. 한국의 주성엔지니어링(ALD), 원익IPS(CVD)가 이 글로벌 장비사들과 같은 밸류체인에 있으면서, 삼성·SK 향 전용 장비를 공급하는 구조다. 글로벌 장비사 대비 한국 소부장의 밸류에이션 </w:t>
      </w:r>
      <w:r w:rsidRPr="00F3770B">
        <w:rPr>
          <w:rFonts w:ascii="Pretendard Medium" w:eastAsia="Pretendard Medium" w:hAnsi="Pretendard Medium"/>
        </w:rPr>
        <w:lastRenderedPageBreak/>
        <w:t>할인이 어느 정도인지, 기술 전환(GAA, HBM4)에서 수혜가 얼마나 되는지를 비교하려면 이 기업들의 규모와 마진을 알아야 한다.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Arista Networks (ANET) / Corning (GLW)</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네트워킹 / 광통신</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AI 데이터센터에서 GPU 수천 개가 동시에 작동하려면 초고속 네트워킹과 광통신이 필수다. 이 두 기업은 그 연결을 담당한다.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Arista Networks는 데이터센터 이더넷 스위치 시장의 핵심 기업이다. 시가총액 약 1,200억 달러(약 170조 원). 2024년 매출 약 70억 달러, 영업이익률 40%대로 반도체 밸류체인 전체에서도 최상위 수준의 마진이다. AI 데이터센터의 400G/800G 이더넷 스위치 수요가 폭발하면서 매출 성장률이 가속화되고 있다. 주요 고객은 메타, 마이크로소프트 등 하이퍼스케일러다.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Corning은 광케이블 글로벌 1위다. 시가총액 약 400억 달러(약 57조 원). AI 데이터센터 간 광케이블 수요가 급증하면서 광통신 부문 매출이 빠르게 성장하고 있다. 엔비디아가 루멘텀(Lumentum)과 코히런트(Coherent)에 5.8조 원을 투자한 배경이 실리콘 포토닉스와 CPO 기술 선점을 위한 것인데, 이 광통신 인프라의 물리적 기반(광케이블)을 공급하는 것이 코닝이다.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이 두 기업이 중요한 이유는 밸류체인에서 "가장 새로 열리는 시장"에 위치하기 때문이다. GPU와 HBM은 이미 수년간 수혜를 받아왔지만, 네트워킹과 광통신은 엔비디아의 NVLink, Spectrum-X, CPO 도입과 함께 이제 막 본격 성장이 시작되는 단계다. 엔비디아 FY2026 네트워킹 매출이 314억 달러로 전년 대비 +142% 성장한 것이 이를 증명한다. 실적이 본격화되기 전 단계이므로 리스크가 높지만, 엔비디아 로드맵에 의해 수요가 확정돼 있다는 점에서 성장 기울기도 가장 가파르다.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한국의 옵티코어(800G 광트랜시버), 파이버프로(광섬유 소재)가 이 시장의 한국 수혜주로 PART 6에서 상세 분석한다.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842D0" w:rsidRPr="00F3770B" w:rsidRDefault="00F842D0" w:rsidP="00F842D0">
      <w:pPr>
        <w:pStyle w:val="font-claude-response-body"/>
        <w:rPr>
          <w:rFonts w:ascii="Pretendard Medium" w:eastAsia="Pretendard Medium" w:hAnsi="Pretendard Medium"/>
        </w:rPr>
      </w:pPr>
      <w:r w:rsidRPr="00F3770B">
        <w:rPr>
          <w:rStyle w:val="a3"/>
          <w:rFonts w:ascii="Pretendard Medium" w:eastAsia="Pretendard Medium" w:hAnsi="Pretendard Medium"/>
        </w:rPr>
        <w:t>화웨이 / SMIC / CXMT — 중국</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중국의 AI 반도체 자급자족 시도</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lastRenderedPageBreak/>
        <w:t>중국은 반도체 자급률을 높이기 위해 국가적 역량을 쏟아붓고 있다. 그러나 첨단 분야에서의 격차는 여전히 크다.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화웨이는 자회사 하이실리콘을 통해 Ascend 910C AI 칩을 설계했다. SMIC이 7nm 공정으로 제조한다. 문제는 EUV 없이 DUV 멀티패터닝으로 생산하다 보니 수율이 30~50%에 불과하다는 것이다. TSMC의 90%+ 수율과 비교하면, 같은 칩을 만드는 데 2~3배 비용이 든다. SemiAnalysis에 따르면 2026년 Ascend 910C 생산량은 25만~30만 개 수준이다. 같은 해 엔비디아가 수백만 개 칩을 출하하는 것과 비교하면 규모 차이가 절대적이다.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더 큰 병목은 HBM이다. CXMT(창신메모리)가 DRAM 양산에 나서고 있지만, HBM은 SK하이닉스·삼성 대비 2~3세대 뒤처져 있다. AI 가속기 성능은 GPU 자체보다 메모리 대역폭에 의해 제한되는 경우가 많은데, HBM 기술이 없으면 Ascend 칩의 실질 성능이 스펙 대비 크게 떨어진다.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EUV 장비는 완전 차단돼 있다. 중국이 자체 EUV 프로토타입을 개발했다는 보도가 2025년 초에 나왔지만, 이 프로토타입은 아직 칩 생산에 성공하지 못했다. 업계 추정으로는 중국이 EUV 장비로 실제 칩을 양산할 수 있는 시점이 2028~2030년이다. 그 사이 ASML의 DUV 장비 유지보수마저 제한되면 기존 장비의 수명이 단축되면서 중국의 첨단 칩 생산 역량이 더 위축될 수 있다.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다만 성숙 공정(28nm 이상)은 다른 이야기다. SMIC과 화홍세미컨덕터 등 중국 파운드리가 성숙 공정 생산 능력을 빠르게 늘리고 있다. 자동차, 산업, 가전용 반도체에서 중국이 글로벌 공급 비중을 높이고 있어, 이 영역에서의 가격 경쟁 압력은 주시해야 한다.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투자 관점에서 중국의 AI 반도체 자급자족 시도가 의미하는 바는 두 가지다. 첫째, 중국이 자체 생산에 실패할수록 TSMC, SK하이닉스, ASML의 전략적 가치는 더 올라간다. 둘째, 미중 수출 통제가 강화될수록 "비중국" 공급망(한국, 대만, 일본, 유럽)의 프리미엄이 커진다. OCI홀딩스가 태양광에서 "비중국 프리미엄"을 누리는 것처럼, 반도체에서도 "비중국 공급망"이라는 것 자체가 경쟁력이 되는 시대다.</w:t>
      </w:r>
    </w:p>
    <w:p w:rsidR="00F842D0" w:rsidRPr="00F3770B" w:rsidRDefault="00F842D0" w:rsidP="00F842D0">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A866DC" w:rsidRDefault="00A866DC" w:rsidP="008210DB">
      <w:pPr>
        <w:pStyle w:val="font-claude-response-body"/>
        <w:rPr>
          <w:rStyle w:val="a3"/>
          <w:rFonts w:ascii="Pretendard Medium" w:eastAsia="Pretendard Medium" w:hAnsi="Pretendard Medium"/>
        </w:rPr>
      </w:pPr>
    </w:p>
    <w:p w:rsidR="00A866DC" w:rsidRDefault="00A866DC" w:rsidP="008210DB">
      <w:pPr>
        <w:pStyle w:val="font-claude-response-body"/>
        <w:rPr>
          <w:rStyle w:val="a3"/>
          <w:rFonts w:ascii="Pretendard Medium" w:eastAsia="Pretendard Medium" w:hAnsi="Pretendard Medium"/>
        </w:rPr>
      </w:pPr>
    </w:p>
    <w:p w:rsidR="00A866DC" w:rsidRDefault="00A866DC" w:rsidP="008210DB">
      <w:pPr>
        <w:pStyle w:val="font-claude-response-body"/>
        <w:rPr>
          <w:rStyle w:val="a3"/>
          <w:rFonts w:ascii="Pretendard Medium" w:eastAsia="Pretendard Medium" w:hAnsi="Pretendard Medium"/>
        </w:rPr>
      </w:pPr>
    </w:p>
    <w:p w:rsidR="008210DB" w:rsidRPr="00A866DC" w:rsidRDefault="008210DB" w:rsidP="008210DB">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5. 한국 기업 분석 — 코스피</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이 파트에서는 AI 반도체 밸류체인의 한국 코스피 상장 기업 7개를 분석한다. SK하이닉스(HBM/DRAM), 삼성전자(메모리/파운드리), 한미반도체(TC본더), 이수페타시스(초고다층 MLB), 삼성전기(MLCC/FC-BGA), 대덕전자(FC-BGA/메모리 기판), 코리아써키트(BGA 기판) 순서다. 앞의 두 기업이 메모리·파운드리 본체이고, 뒤의 다섯 기업이 그 본체에 장비·부품·기판을 공급하는 소부장이다. 삼성전자·SK하이닉스의 2026년 합산 설비투자 전망이 70조 원이며, 이 투자가 뒤 다섯 기업의 실적으로 직결되는 구조다.</w:t>
      </w:r>
    </w:p>
    <w:p w:rsidR="008210DB" w:rsidRPr="00F3770B" w:rsidRDefault="008210DB" w:rsidP="008210D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SK하이닉스 (000660)</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HBM / DRAM / NAND</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AI 반도체 밸류체인에서 "엔비디아가 설계한 GPU의 옆에 반드시 붙어야 하는 부품"을 만드는 회사다. 엔비디아 루빈 GPU에 HBM4 288GB가 탑재되는데, 그 HBM4를 세계에서 가장 먼저, 가장 많이 만들 수 있는 기업이 SK하이닉스다.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2025년 연간 매출 97조 1,467억 원, 영업이익 47조 2,063억 원(영업이익률 49%), 순이익 42조 9,479억 원(순이익률 44%). 전년 대비 매출은 30조 원 이상 늘었고, 영업이익은 2배로 뛰면서 역대 최대 연간 실적을 새로 썼다.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4분기는 더 두드러졌다. 매출 32조 8,267억 원, 영업이익 19조 1,696억 원, 영업이익률 58%로 세 지표 모두 분기 기준 최고치를 기록했다. 영업이익률 58%는 제조업에서 보기 힘든 수치다. TSMC의 영업이익률이 50%대인데, SK하이닉스가 그것을 넘어선 것이다.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HBM 매출은 전년 대비 2배 이상 성장했다. 2026년 1분기 매출 컨센서스는 약 44조 원(인베스팅닷컴 기준)으로, 분기 매출이 또다시 역대 최고를 경신할 전망이다.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HBM 시장 점유율 50%로 압도적 1위다(트렌드포스 2026년 전망). 삼성전자 28%, 마이크론 22%와 비교하면 혼자서 절반을 차지하고 있다. 카운터포인트리서치에 따르면 2025년 2분기 HBM 비트 출하 기준으로는 62%까지 올라갔다.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lastRenderedPageBreak/>
        <w:t>둘째, HBM3E와 HBM4를 동시에 공급할 수 있는 업계 유일한 기업이다. 2025년 9월 HBM4 세계 최초 양산 체제를 구축했고, 4분기부터 출하를 시작해 2026년에 본격 판매 확대에 나선다. 엔비디아 블랙웰에는 HBM3E를, 루빈에는 HBM4를 공급하는 구조로, 세대 전환 과정에서 양쪽 모두 물량을 가져간다.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엔비디아와의 파트너십이 공고하다. GTC 2026에서 최태원 SK그룹 회장이 참석해 엔비디아와의 파트너십을 재확인했다. 엔비디아 GPU 설계 단계부터 SK하이닉스 HBM 스펙을 맞추는 공동 개발 관계다.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넷째, 일반 DRAM에서도 기술 리더십을 유지하고 있다. 1c나노(10나노급 6세대) DDR5 본격 양산에 돌입했고, 1b나노 32Gb 기반 업계 최대 용량 256GB DDR5 RDIMM 개발을 완료했다. AI 서버에 HBM만 들어가는 게 아니다. 일반 DDR5 DRAM도 대량으로 필요하다.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다섯째, 주주환원 정책이 크게 강화됐다. 2025 회계연도 총 배당금 2.1조 원, 보유 자기주식 1,530만 주(약 12.2조 원 규모) 전량 소각을 결정했다.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HBM 의존도가 높다. HBM 매출이 전체 실적을 좌우하는 구조인데, HBM 가격이 하락하거나 수요가 둔화되면 실적이 급락할 수 있다. AI 투자 사이클이 꺾이면 가장 먼저 타격을 받는 기업이다.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밸류에이션이 이미 높다. 시총 160조 원에 영업이익 47.2조 원이면 시총/영업이익 배수가 약 3.4배로 메모리 기업치고는 낮아 보이지만, 이건 역대 최고 실적이 지속된다는 전제다. 실적이 피크아웃했다는 인식이 형성되면 주가가 빠르게 조정받을 수 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삼성전자와 마이크론의 HBM4 추격. 삼성전자가 2026년 2월 HBM4 세계 최초 양산 출하를 발표했고, 마이크론도 HBM4 재설계를 진행 중이다. SK하이닉스의 HBM 점유율 50%가 영원하지 않을 수 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넷째, 현재 수급 불균형이 심화되면서 가격이 급등하고 있는 상황 자체가 역설적 리스크다. 증설 투자가 본격화되면 2~3년 후 공급 과잉으로 전환될 가능성을 배제할 수 없다.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HBM 수율과 적층 기술에서의 압도적 기술 리더십, 엔비디아와의 공동 개발 관계, 일반 DRAM까지 풀 포트폴리오. 이 세 가지가 SK하이닉스의 해자다. 엔비디아 GPU가 팔릴수록 SK하이닉스 HBM도 팔린다. 이 연결 구조가 끊어지지 않는 한 SK하이닉스의 위치는 견고하다.</w:t>
      </w:r>
    </w:p>
    <w:p w:rsidR="008210DB" w:rsidRPr="00F3770B" w:rsidRDefault="008210DB" w:rsidP="008210DB">
      <w:pPr>
        <w:pStyle w:val="font-claude-response-body"/>
        <w:rPr>
          <w:rFonts w:ascii="Pretendard Medium" w:eastAsia="Pretendard Medium" w:hAnsi="Pretendard Medium"/>
        </w:rPr>
      </w:pPr>
      <w:r w:rsidRPr="00F3770B">
        <w:rPr>
          <w:rFonts w:ascii="맑은 고딕" w:eastAsia="맑은 고딕" w:hAnsi="맑은 고딕" w:cs="맑은 고딕" w:hint="eastAsia"/>
        </w:rPr>
        <w:lastRenderedPageBreak/>
        <w:t>━━━━━━━━━━━━━━━━━━━━━━━━━━━</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삼성전자 (005930)</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메모리 / 파운드리 / 시스템LSI</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한국 시총 1위이자 세계 반도체 업계에서 설계부터 생산까지 전부 하는 가장 큰 IDM이다.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2025년 연간 매출 333조 6,059억 원(사상 최대), 영업이익 43조 6,011억 원(전년 대비 +33.2%), 영업이익률 13.1%. 4분기 매출 93조 8,374억 원(전년 동기 대비 +23.8%), 영업이익 20조 737억 원(+209.2%)으로 분기 기준 역대 최대다. 한국 기업 최초로 분기 영업이익 20조 원을 넘겼다. 이 중 반도체(DS) 부문 영업이익이 16조 4,000억 원이다.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핵심 숫자 하나를 짚어야 한다. SK하이닉스의 2025년 연간 영업이익이 47.2조 원이고, 삼성전자 전사 영업이익이 43.6조 원이다. 메모리 전문 기업인 SK하이닉스가 삼성전자 전사 영업이익을 사상 처음 추월했다. 반도체 역사에서 전례가 없는 일이다.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사업부별 분석</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삼성전자는 단일 기업이지만 사실상 3개의 서로 다른 회사가 합쳐진 구조다.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DS(반도체) 부문이 실적의 핵심이다. 4분기 매출 44조 원, 영업이익 16.4조 원. 메모리는 범용 DRAM 수요 강세에 적극 대응하고 HBM 판매도 확대해 사상 최대 분기 매출 및 영업이익을 기록했다. 메모리 가격 상승과 서버용 DDR5, 기업용 SSD 등 고부가가치 제품 판매 확대가 이익 증가를 이끌었다.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파운드리 사업부는 삼성전자의 가장 큰 성장 잠재력이자 가장 큰 약점이다. 2nm(SF2) 공정 양산을 시작했고, 퀄컴·테슬라와 위탁생산 협의를 진행 중이다. GTC 2026에서 엔비디아 Groq 3 LPU가 삼성 4nm 파운드리로 제조된다고 발표된 점도 긍정적이다. 그러나 TSMC 대비 수율 격차(TSMC 80%+ vs 삼성 60%대)가 여전히 핵심 문제이며, 파운드리 부문은 아직 적자 상태다.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DX(가전·모바일) 부문은 연간 매출 188조 원, 영업이익 12.9조 원으로 수익성이 둔화됐다.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HBM4 세계 최초 양산 출하(2026년 2월). SK하이닉스가 HBM4 양산 체제를 먼저 구축했지만, 삼성전자가 양산 출하에서 먼저 치고 나왔다. 12단 HBM4를 2026년 2월에 출하했고, 16단 제품도 준비 중이다. HBM4 세대에서 반격의 기회가 열렸다.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파운드리 + 메모리를 동시에 보유한 세계 유일의 IDM이다. TSMC는 파운드리만, SK하이닉스는 메모리만 한다. 삼성전자는 둘 다 한다. 파운드리 턴어라운드가 현실화되면 메모리 + 파운드리 동시 상승이라는 시나리오가 열린다.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밸류에이션이 SK하이닉스 대비 현저히 저평가돼 있다. SK하이닉스 영업이익률 49% vs 삼성전자 전사 13.1%. 이 격차가 HBM 반등 + 파운드리 턴어라운드로 축소되면 삼성전자의 밸류에이션 멀티플이 리레이팅될 수 있다.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HBM에서 SK하이닉스에 뒤처져 있다. HBM 시장 점유율이 28%로 SK하이닉스(50%)의 절반 수준이다. 엔비디아 품질 검증(Qual) 통과 시점이 SK하이닉스보다 늦었고, 수율도 열위다.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파운드리 적자가 장기화되고 있다. 2nm 양산을 시작했지만 외부 고객 확보가 충분하지 않다. TSMC와의 수율 격차가 좁혀지지 않으면 대형 팹리스(애플, 퀄컴 주력 물량)를 잡기 어렵다.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경영 효율성에 대한 의문. 2025년 연간 연구개발비가 역대 최대인 37.7조 원이었는데, 이 투자가 HBM 수율 개선과 파운드리 경쟁력으로 전환되는 속도가 시장 기대보다 느리다.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왜 SK하이닉스만 오르고 삼성전자는 안 오르는가</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같은 메모리인데 주가 방향이 다른 이유는 세 가지다. 첫째, HBM 점유율 격차. SK하이닉스 50% vs 삼성 28%다. HBM이 메모리 이익의 핵심인데, 그 핵심에서 2배 차이가 난다. 둘째, 사업부 구조 차이. SK하이닉스는 메모리 전문이라 AI 수혜가 순도 100%로 실적에 반영된다. 삼성전자는 DX 부문(모바일·가전)이 매출의 56%를 차지하는데, 이 부문의 성장률이 낮아 전체 멀티플을 끌어내린다. 셋째, 파운드리 적자. 삼성전자만의 문제인 파운드리 부문이 실적을 까먹고 있어, 메모리에서 벌어도 전사 이익률이 SK하이닉스의 1/4 수준에 머문다.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역으로 말하면, 삼성전자가 HBM4에서 점유율을 회복하고 파운드리가 흑자 전환하면 주가 재평가 폭이 SK하이닉스보다 클 수 있다. "나쁜 뉴스가 다 나와서 더 나빠질 게 없는" 상태에서 좋은 뉴스가 나오기 시작하면, 시장은 그걸 과대평가하는 경향이 있다.</w:t>
      </w:r>
    </w:p>
    <w:p w:rsidR="008210DB" w:rsidRPr="00F3770B" w:rsidRDefault="008210DB" w:rsidP="008210DB">
      <w:pPr>
        <w:pStyle w:val="font-claude-response-body"/>
        <w:rPr>
          <w:rFonts w:ascii="Pretendard Medium" w:eastAsia="Pretendard Medium" w:hAnsi="Pretendard Medium"/>
        </w:rPr>
      </w:pPr>
      <w:r w:rsidRPr="00F3770B">
        <w:rPr>
          <w:rFonts w:ascii="맑은 고딕" w:eastAsia="맑은 고딕" w:hAnsi="맑은 고딕" w:cs="맑은 고딕" w:hint="eastAsia"/>
        </w:rPr>
        <w:lastRenderedPageBreak/>
        <w:t>━━━━━━━━━━━━━━━━━━━━━━━━━━━</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한미반도체 (042700)</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TC본더 / HBM 적층 핵심 장비</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HBM을 만들려면 DRAM 칩을 수직으로 12~16단 쌓아야 한다. 이 칩을 고온·고압으로 정밀하게 접합하는 장비가 TC본더(Thermo Compression Bonder)다. 한미반도체는 이 TC본더 분야에서 세계 점유율 71.2%(테크인사이츠 2025년 기준)로 독보적 1위다. HBM을 만드는 SK하이닉스, 삼성전자, 마이크론, TSMC 전부 한미반도체 장비를 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2025년 연간 매출 5,767억 원, 영업이익 2,514억 원으로 창사 이래 최대 실적이다. 영업이익률 43.6%로 업계 최고 수준의 수익성을 기록했다. 4분기 단일 실적은 매출 830억 원, 영업이익 276억 원이다.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2026년 전망은 매출 1조 원 돌파가 유력하다. HBM4 본격 양산에 따른 TC본더 추가 발주, 북미 고객사(마이크론, TSMC 등) 확대가 주요 동력이다. 해외 매출 비중이 80%를 상회할 것으로 전망된다.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TC본더 시장 71.2% 점유율이라는 사실상의 독점이다. HBM을 만드는 데 TC본더가 필수이고, 그 TC본더를 만드는 곳이 사실상 한미반도체뿐이다. 경쟁사(세메스, ASMPT, 한화세미텍)가 있지만 점유율 격차가 압도적이다.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HBM 세대가 올라갈수록 한미반도체 수요가 늘어나는 구조다. HBM3E가 12단 적층이면, HBM4는 16단이다. 쌓는 층수가 늘어날수록 TC본더가 더 많이, 더 정밀하게 필요하다. HBM 세대 진화가 곧 한미반도체 매출 증가다.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고객이 전 세계 메모리 3사 + TSMC다. SK하이닉스, 삼성전자, 마이크론 전부 한미반도체 TC본더를 쓰고, TSMC의 CoWoS 패키징에도 한미반도체 장비가 들어간다. 어떤 메모리 회사가 HBM 시장에서 이기든 한미반도체는 장비를 판다.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넷째, HBM4 전용 신장비 '호(Tiger)'를 출시하면서 차세대 수주를 선점하고 있다. 기존 장비 대비 생산 정밀도와 생산성을 모두 개선한 제품으로, 주요 고객사 평가가 진행 중이다.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핵심 약점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밸류에이션이 극도로 높다. 시총 2.9조 원에 영업이익 2,514억 원이면 시총/영업이익 약 12배인데, PER로 보면 137배다. 성장주 프리미엄이 충분히 반영된 가격이므로, 실적이 기대에 못 미치면 주가 조정 폭이 클 수 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고객 집중도. SK하이닉스 의존도가 높았는데, 마이크론·TSMC향 수주를 확대하면서 분산 중이다. 다만 SK하이닉스의 투자 사이클에 따라 실적 변동성이 존재한다.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하이브리드 본딩 기술 전환 리스크. HBM4 이후 세대에서 TC본딩 대신 하이브리드 본딩이 주류가 되면 한미반도체의 핵심 기술이 구세대가 될 수 있다. 한미반도체도 이를 인지하고 하이브리드 본딩 기술에 1,000억 원을 투자하고 있지만, 아직 초기 단계다.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"HBM 적층에 필수인 장비를 사실상 독점 공급"하는 구조가 해자 그 자체다. HBM을 만드는 3사 + TSMC 전부가 고객이므로, HBM 시장 전체의 성장이 곧 한미반도체의 성장이다. 누가 HBM 시장에서 이기든 한미반도체는 이긴다.</w:t>
      </w:r>
    </w:p>
    <w:p w:rsidR="008210DB" w:rsidRPr="00F3770B" w:rsidRDefault="008210DB" w:rsidP="008210D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이수페타시스 (007660)</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초고다층 MLB / AI 서버용 PCB</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AI 서버 한 대를 만들려면 GPU, HBM, 각종 칩들이 올라가는 "회로판"이 필요하다. 이 회로판이 PCB(인쇄회로기판)인데, AI 서버용 PCB는 일반 PCB와 차원이 다르다. 24층 이상의 초고다층 MLB(다층인쇄회로기판)이 필요하고, 고속 신호 전송을 위한 초정밀 제조 기술이 요구된다. 이수페타시스가 이 초고다층 MLB를 엔비디아, 구글, 마이크로소프트에 직접 납품하고 있다.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2025년 3분기 누적 기준 전년 동기 대비 매출 29.4% 증가, 영업이익 93.9% 증가, 순이익 115.9% 증가(에프앤가이드 기준). 4분기 매출 2,987억 원, 영업이익 565억 원을 기록했다. 연간 기준으로 매출은 약 1조 원을 넘긴 것으로 추정된다.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lastRenderedPageBreak/>
        <w:t>2026년 전망이 핵심이다. 신한투자증권 기준 2026년 연간 매출은 전년 대비 약 40% 증가한 1조 4,000억 원대에 진입하고, 영업이익은 55% 급증할 것으로 추정된다. 다중적층 제품 매출 비중이 2025년 9%에서 2026년 31%까지 폭증할 전망인데, 이 제품의 ASP(평균판매단가)가 기존 제품의 2~3배다. 팔면 팔수록 이익이 기하급수적으로 늘어나는 영업 레버리지 구간에 진입한 것이다.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글로벌 빅테크 직접 납품이라는 독보적 포지션이다. 이수페타시스는 엔비디아, 구글, 마이크로소프트에 AI 서버용 MLB를 직접 공급하고 있다. 한국 PCB 기업 중 글로벌 빅테크에 AI 서버용 기판을 직접 공급하는 기업은 이수페타시스가 사실상 유일하다.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다중적층 MLB 비중 확대에 따른 수익성 점프가 시작됐다. 다중적층 공법이 적용된 MLB는 VIPPO 방식 대비 공정 부하가 2.5배 수준이라 공급 부족이 심화되고 있다(하나증권). 제품 단가가 천만 원을 호가하는 초고부가가치 제품의 비중이 늘어나면서 매출 증가율보다 영업이익 증가율이 훨씬 가파르게 나타나는 구조다.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생산능력 증설이 확정됐다. 제5공장 조기 증설로 2026년 하반기 8K, 2028년 12.5K 수준으로 생산능력을 2배 가까이 끌어올릴 계획이다. 기존 2028년 계획을 대폭 앞당긴 것으로, 수요가 공급을 초과하고 있다는 반증이다.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PER 99배로 밸류에이션이 극도로 높다. 2026년 실적 전망이 달성되더라도 PER 35~40배 수준이다. 실적이 기대에 못 미치면 주가 조정 폭이 크다.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고객 편중 리스크. 엔비디아·구글 등 소수 빅테크에 매출이 집중돼 있어, 특정 고객사의 AI 투자 축소가 직접적 타격이 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원자재(구리) 가격 변동에 노출돼 있다. 다만 고부가가치 제품 비중 확대로 원가 상승분을 판매가에 전가하고 있다.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"엔비디아·구글에 AI 서버용 기판을 직접 납품하는 한국 유일 기업"이라는 포지션이 해자다. 이 고객 관계는 기술 검증, 품질 인증, 장기 수주 계약으로 묶여 있어 신규 진입자가 쉽게 빼앗기 어렵다. 시총 8.1조 원에 2026년 영업이익 전망이 2,000억 원대라면, 성장 기울기가 가파르지만 밸류에이션도 그만큼 높다. "성장이 밸류에이션을 따라잡을 수 있느냐"가 이수페타시스 투자의 핵심 질문이다.</w:t>
      </w:r>
    </w:p>
    <w:p w:rsidR="008210DB" w:rsidRPr="00F3770B" w:rsidRDefault="008210DB" w:rsidP="008210DB">
      <w:pPr>
        <w:pStyle w:val="font-claude-response-body"/>
        <w:rPr>
          <w:rFonts w:ascii="Pretendard Medium" w:eastAsia="Pretendard Medium" w:hAnsi="Pretendard Medium"/>
        </w:rPr>
      </w:pPr>
      <w:r w:rsidRPr="00F3770B">
        <w:rPr>
          <w:rFonts w:ascii="맑은 고딕" w:eastAsia="맑은 고딕" w:hAnsi="맑은 고딕" w:cs="맑은 고딕" w:hint="eastAsia"/>
        </w:rPr>
        <w:lastRenderedPageBreak/>
        <w:t>━━━━━━━━━━━━━━━━━━━━━━━━━━━</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삼성전기 (009150)</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MLCC / FC-BGA 패키지 기판 / 카메라 모듈</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삼성전기는 두 가지 이유로 이 보고서에 반드시 들어가야 하는 기업이다. 첫째, AI 서버용 MLCC(적층세라믹커패시터)를 만든다. MLCC는 전기를 일시 저장했다가 일정량씩 방출하는 부품으로, 모든 전자기기에 들어가서 '전자산업의 쌀'로 불린다. AI 서버 한 대에 들어가는 MLCC 수량은 일반 서버의 수배이며, 크기도 훨씬 크고 비싸다. 둘째, AI 가속기용 FC-BGA 기판을 만든다. GPU, CPU 같은 AI 칩이 올라가는 고다층 반도체 패키지 기판인데, 글로벌 공급 가능 기업이 한 손에 꼽히고 삼성전기의 생산 물량은 매달 전량 판매되는 완판 상태다.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2025년 연간 매출 11조 3,145억 원(창사 이래 최대), 영업이익 9,133억 원(전년 대비 +24.3%). 4분기 매출 2조 9,021억 원(전년 동기 대비 +16.4%), 영업이익 2,395억 원(+108.2%).</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사업부별로 보면, 컴포넌트(MLCC) 부문 4분기 매출 1조 3,203억 원으로 전년 동기 대비 22% 증가했다. AI·서버 및 파워용 MLCC 공급 확대가 원인이다. 패키지솔루션(FC-BGA) 부문 4분기 매출 6,446억 원으로 전년 동기 대비 17% 증가했다. 글로벌 빅테크향 서버 및 AI 가속기용, 자율주행 시스템용 FC-BGA와 모바일 AP용 BGA 등 고부가 제품 공급 확대가 실적을 견인했다.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2026년 컨센서스 기준 매출 12조 원대, 영업이익 1조 1,000억~1조 2,000억 원으로 2년 연속 역대 최고 실적 경신이 전망된다.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MLCC + FC-BGA 양쪽에서 동시에 AI 수혜를 받는 유일한 한국 기업이다. 이수페타시스는 MLB, 대덕전자는 FC-BGA, 코리아써키트는 BGA로 각각 기판 한 종류에 집중하는데, 삼성전기는 MLCC라는 완전히 다른 부품과 FC-BGA 기판을 동시에 공급한다. AI 서버 한 대를 만들 때 MLCC도 필요하고 기판도 필요하니, 양쪽에서 수혜를 받는다.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 xml:space="preserve">둘째, FC-BGA가 사실상 완판 상태다. 삼성전기는 빅테크를 포함한 신규 고객 4곳을 추가로 확보하면서 완판 체제에 돌입한 것으로 업계에서 파악하고 있다. 기존 빅테크 고객사향 공급 </w:t>
      </w:r>
      <w:r w:rsidRPr="00F3770B">
        <w:rPr>
          <w:rFonts w:ascii="Pretendard Medium" w:eastAsia="Pretendard Medium" w:hAnsi="Pretendard Medium"/>
        </w:rPr>
        <w:lastRenderedPageBreak/>
        <w:t>확대와 AI 가속기용 신규 빅테크 고객사 진입을 동시에 추진하면서, AI 서버 중심으로 큰 폭의 매출 성장이 예상된다.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MLCC 가동률이 99%에 달하며 공급 부족 상태다. AI 서버, ADAS 관련 산업·전장용 대형 고용량 제품 중심 수요 증가로 MLCC 수급이 점점 어려워지고 있으며, 이 상황이 당분간 지속될 전망이라고 회사 측이 실적 발표에서 밝혔다. 수급이 타이트하면 가격 결정력이 생기고, 가격이 올라가면 마진이 개선된다.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넷째, 글래스 기판이라는 차세대 신사업을 준비하고 있다. 2025년 파일럿 라인을 구축했고, 다수 빅테크 고객사와 프로젝트를 진행 중이며, 합작법인 설립을 상반기 내 완료할 예정이다. 글래스 기판은 기존 유기 기판(FC-BGA) 대비 신호 전달 속도와 열 관리 성능이 뛰어나 차세대 AI 칩용 기판으로 주목받고 있다.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영업이익률이 아직 8.1%(2025년 기준)로 높지 않다. SK하이닉스 49%, 한미반도체 43.6%와 비교하면 수익성이 열위다. MLCC와 카메라 모듈은 경쟁이 치열한 시장이고, FC-BGA만으로는 전사 마진을 끌어올리기 어렵다. 다만 2026년 FC-BGA 고다층 제품 비중 확대와 MLCC 가격 인상이 맞물리면 영업이익률이 9~10%대로 개선될 여지가 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카메라 모듈(광학솔루션) 부문이 전체 매출의 약 33%를 차지하는데, 이 부문은 AI 반도체와 직접적 관련이 적고 스마트폰 시장 경쟁에 노출돼 있다. 삼성전자 스마트폰 물량에 연동되는 구조라 비수기에 실적이 흔들린다. 다만 휴머노이드 로봇용 카메라 모듈이라는 신규 성장축이 열리고 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FC-BGA 시장에서 일본의 이비덴, 신코전기와 경쟁해야 한다. 이 두 기업이 글로벌 서버용 FC-BGA 시장을 주도하고 있으며, 삼성전기가 점유율을 확대하는 속도가 관건이다.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"MLCC + FC-BGA 동시 수혜"라는 독특한 포지션이 해자다. MLCC는 삼성전기·무라타·TDK 3사가 과점하는 시장이고, 서버용 FC-BGA는 글로벌 공급자가 한 손에 꼽힌다. 두 시장 모두 AI 인프라 확대에 따른 구조적 성장이 확인되고 있다. 시총 25조 원에 2026년 영업이익 1.1~1.2조 원 전망이면 시총/영업이익 약 21~23배로, 이수페타시스(약 40배)나 한미반도체(약 12배) 대비 중간 수준의 밸류에이션이다.</w:t>
      </w:r>
    </w:p>
    <w:p w:rsidR="008210DB" w:rsidRPr="00F3770B" w:rsidRDefault="008210DB" w:rsidP="008210D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대덕전자 (353200)</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FC-BGA / 메모리 패키지 기판 / MLB</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대덕전자는 반도체 칩이 올라가는 기판을 만드는 회사다. 사업은 크게 세 갈래다. 첫째, 메모리 패키지 기판(삼성전자 DRAM·NAND에 들어가는 BGA 기판). 둘째, FC-BGA(AI 서버·자율주행칩에 쓰이는 고다층 로직 기판). 셋째, MLB(통신장비·전장용 다층인쇄회로기판). 이 중 메모리 패키지 기판이 안정적 캐시카우이고, FC-BGA가 성장의 핵심축이다.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2025년 4분기 매출 3,179억 원, 영업이익 290억 원. 전년 동기 대비 매출 54% 증가, 영업이익 흑자 전환. 2025년 연간 연결 기준 영업이익은 491억 원으로 전년 대비 336% 증가했다. 2024년 업계 불황을 벗어나 본격적인 턴어라운드 국면에 진입한 것이다.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2026년 전망은 증권사별로 편차가 있다. 유안타증권은 매출 1조 4,660억 원, 영업이익 1,820억 원(전년 대비 +270.7%)을, 대신증권은 매출 1조 2,300억 원, 영업이익 1,261억 원(+179.1%)을 제시했다. 증권사마다 숫자는 다르지만 "2026년은 매출 증가보다 수익성 개선이 훨씬 가파른 해"라는 점에서 일치한다.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FC-BGA 사업이 마침내 반전했다. 대덕전자는 2020~2022년에 총 2,700억 원을 FC-BGA 생산능력 확대에 투자했지만, 전기차 캐즘으로 FC-BGA 매출은 2022년 270억 원 → 2023년 220억 원 → 2024년 170억 원으로 오히려 감소했다. 전사 매출 대비 비중이 2%에 그쳤다. 그러던 FC-BGA 매출 비중이 2025년 3분기 17%까지 뛰었다. 투자한 설비가 드디어 돈을 벌기 시작한 것이다. 유안타증권은 "그동안 적자였던 FC-BGA 부문이 2026년부터 흑자 기조로 전환될 것이며, 이는 이익 기여 확대의 전초"라고 분석했다.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FC-BGA 응용처가 전장에서 AI 서버까지 확대되고 있다. 2025년 3분기에는 FC-BGA 응용처가 기존 전기차에서 내연기관 차량까지 확대됐고, 인포테인먼트 중심이던 수요도 자율주행·ADAS 등 차세대 전장 플랫폼으로 늘었다. 하나증권은 "대덕전자는 2026년 초저지연 추론용 가속기로의 FC-BGA 공급도 시작할 것이며, 대면적 FC-BGA 공급에 따른 수익성 개선이 기대된다"고 밝혔다. 전장용과 서버용 FC-BGA가 동시에 성장하는 구조다.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 xml:space="preserve">셋째, 메모리 패키지 기판에서 삼성전자향 핵심 공급사라는 안정적 기반이 있다. 패키지 업체 중 서버향, DDR5 비중이 가장 높으며(대신증권), 2026년에는 서버향 GDDR7 및 LPDDR5 </w:t>
      </w:r>
      <w:r w:rsidRPr="00F3770B">
        <w:rPr>
          <w:rFonts w:ascii="Pretendard Medium" w:eastAsia="Pretendard Medium" w:hAnsi="Pretendard Medium"/>
        </w:rPr>
        <w:lastRenderedPageBreak/>
        <w:t>매출 증가가 관측된다. HBM이 아닌 일반 메모리도 AI 서버에 대량으로 필요하고, 그 메모리가 올라가는 기판을 대덕전자가 만든다.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넷째, AMD 등 해외 빅테크에도 FC-BGA를 수출하고 있는 것으로 추정된다. 국내 메모리향만이 아니라 해외 비메모리 기판까지 고객을 다변화하고 있다는 점이 중요하다.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FC-BGA 사업이 이제 막 흑자 전환한 초기 단계다. 2,700억 원을 투자한 설비의 감가상각비 부담이 여전히 크고, 가동률이 올라가야 마진이 개선되는 구조다. FC-BGA 가동률이 계획대로 올라가지 않으면 기대했던 이익 폭발이 지연될 수 있다.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영업이익률이 아직 낮다. 2025년 연간 영업이익률이 약 4.7%에 불과하다. 이수페타시스(약 20%)나 삼성전기(약 8%)와 비교하면 수익성 개선 여지가 많지만, 역으로 지금은 "매출은 크지만 이익은 작은" 구조다.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일본 이비덴·신코전기와의 글로벌 경쟁이다. FC-BGA 시장은 이 두 일본 기업이 글로벌 점유율 50% 이상을 차지하고 있다. 대덕전자가 AI 서버용 대면적 FC-BGA에서 기술력을 입증해야 점유율 확대가 가능하다.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"삼성전자 메모리 패키지 기판 핵심 공급사"라는 안정적 기반 위에, FC-BGA라는 성장축이 올라타는 구조다. FC-BGA가 전장과 AI 서버 양쪽으로 확대되면서 2026~2027년 이익 성장 기울기가 가파르다. 시총 2조 원에 2026년 영업이익 전망 1,260억~1,820억 원(증권사별 편차)이면, 시총/영업이익이 1.1~1.6배 수준이다. 턴어라운드 기업 특유의 "적자에서 대폭 흑자로" 전환 구간이라 이익 성장률이 수백 %에 달하며, 이 성장률이 실현되면 밸류에이션 재평가 여지가 가장 큰 기업이다.</w:t>
      </w:r>
    </w:p>
    <w:p w:rsidR="008210DB" w:rsidRPr="00F3770B" w:rsidRDefault="008210DB" w:rsidP="008210D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코리아써키트 (007810)</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BGA 기판 / 브로드컴 장기공급계약 / FC-BGA</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 xml:space="preserve">코리아써키트를 이 보고서에 넣는 이유는 단순하다. 코리아써키트는 2020년 7월과 2021년 9월에 브로드컴과 6년 장기공급계약 2건을 체결했다. 브로드컴은 PART 3-1에서 </w:t>
      </w:r>
      <w:r w:rsidRPr="00F3770B">
        <w:rPr>
          <w:rFonts w:ascii="Pretendard Medium" w:eastAsia="Pretendard Medium" w:hAnsi="Pretendard Medium"/>
        </w:rPr>
        <w:lastRenderedPageBreak/>
        <w:t>분석한 것처럼 커스텀 ASIC 시장 1위 기업으로, 구글 TPU를 비롯한 하이퍼스케일러 자체 AI 칩 설계를 대행하는 회사다. 이 칩에 들어가는 기판을 코리아써키트가 공급한다. PART 1에서 설명한 것처럼 커스텀 ASIC 시장 성장률이 44.6%로 GPU 성장률(16.1%)을 크게 앞서는데(트렌드포스), 이 성장의 수혜가 브로드컴 → 코리아써키트로 연결되는 구조다.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2025년 3분기 매출 3,757억 원, 영업이익 133억 원. 직전 분기 대비 매출 13.4% 증가, 영업이익 114.5% 급증했다. 분기별 실적 개선 추세가 뚜렷하다. 최근 3개월간 주가가 3배로 올랐다.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코리아써키트, 대덕전자, 이수페타시스는 모두 PCB 전문 기업이지만 고객과 제품이 다르다. 세 기업 모두 단순한 PCB 제품뿐 아니라 FC-BGA나 MLB 등 AI 서비스에 필수적인 고부가 PCB 제품을 생산한다는 공통점이 있지만, 이수페타시스는 엔비디아·구글향 MLB, 대덕전자는 삼성전자·AMD향 FC-BGA, 코리아써키트는 브로드컴향 BGA로 각각 다른 고객과 제품에 집중한다. 같은 기판 밸류체인인데 서로 다른 시장에서 성장하는 구조다.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브로드컴 6년 장기계약이라는 수주 가시성이다. 2020~2021년에 체결된 6년짜리 계약 2건이 2026~2027년까지 유효하다. 장기계약은 수요 변동에 대한 버퍼를 제공한다. 브로드컴이 구글 TPU, 메타 MTIA, 바이트댄스 자체 칩 등 커스텀 ASIC 설계를 계속 확대하고 있으므로, 이 계약의 실질 물량은 계약 당시보다 커질 가능성이 높다.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둘째, 커스텀 ASIC 시장 성장의 간접 수혜다. 하이퍼스케일러들이 엔비디아 GPU 의존도를 낮추기 위해 자체 칩 개발에 나서면서, 브로드컴의 AI 관련 반도체 매출이 전년 대비 77% 성장했다. 이 성장이 기판 공급사인 코리아써키트로 파급된다.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국내를 넘어 미국 빅테크에 납품하면서 수익성이 한층 개선되고 있다. 국내 스마트폰향 PCB는 가격 경쟁이 치열하지만, 빅테크 서버향 기판은 기술 난이도가 높고 대안 공급사가 적어 마진이 더 좋다.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첫째, 영업이익률이 약 3.5%로 매우 낮다. 매출 3,757억 원에 영업이익 133억 원이면 이익이 너무 작다. 이수페타시스(약 20%), 삼성전기(약 8%), 대덕전자(약 4.7%)와 비교해도 가장 낮다. 고부가가치 FC-BGA와 서버용 기판의 비중이 올라가야 수익성이 개선되는데, 아직 전환 초기다.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lastRenderedPageBreak/>
        <w:t>둘째, 브로드컴 고객 집중도가 높다. 장기계약이 수주 안정성을 제공하지만, 반대로 브로드컴이 자체 기판 내재화를 추진하거나 다른 공급사를 추가하면 리스크가 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셋째, 밸류에이션이 실적 대비 높다. 시총 2조 원에 2025년 영업이익이 수백억 원 수준이면, 현재 주가는 2026~2027년의 이익 폭발을 상당히 선반영하고 있다. 기대대로 실적이 나오지 않으면 주가 조정 폭이 클 수 있다.</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"브로드컴 장기계약"이 해자의 핵심이다. 브로드컴이 커스텀 ASIC 시장에서 독보적 1위인 한, 코리아써키트의 수주 가시성은 유지된다. 다만 이 해자는 "계약 기간이 끝나면 갱신이 필요한" 시간 제한이 있는 해자이므로, 2027년 이후 계약 갱신 여부가 장기 투자의 핵심 변수다. 수익성이 기판 밸류체인 5개 기업 중 가장 낮다는 점도 보완이 필요하다. 고부가 FC-BGA 비중 확대가 수익성 전환의 열쇠다.</w:t>
      </w:r>
    </w:p>
    <w:p w:rsidR="008210DB" w:rsidRPr="00F3770B" w:rsidRDefault="008210DB" w:rsidP="008210D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8210DB" w:rsidRPr="00F3770B" w:rsidRDefault="008210DB" w:rsidP="008210DB">
      <w:pPr>
        <w:pStyle w:val="font-claude-response-body"/>
        <w:rPr>
          <w:rFonts w:ascii="Pretendard Medium" w:eastAsia="Pretendard Medium" w:hAnsi="Pretendard Medium"/>
        </w:rPr>
      </w:pPr>
      <w:r w:rsidRPr="00F3770B">
        <w:rPr>
          <w:rStyle w:val="a3"/>
          <w:rFonts w:ascii="Pretendard Medium" w:eastAsia="Pretendard Medium" w:hAnsi="Pretendard Medium"/>
        </w:rPr>
        <w:t>한국 코스피 기업 밸류에이션 비교</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같은 AI 반도체 밸류체인에 있지만 밸류에이션 격차가 크다. SK하이닉스는 시총 160조에 영업이익 47.2조로 시총/영업이익 약 3.4배다. 삼성전자는 시총 380조에 영업이익 43.6조로 약 8.7배다. 삼성전기는 시총 25조에 영업이익 약 9,133억으로 약 27배다. 한미반도체는 시총 2.9조에 영업이익 2,514억으로 약 12배다. 이수페타시스는 시총 8.1조에 2025년 영업이익 약 2,000억으로 약 40배다. 대덕전자와 코리아써키트는 시총 각 2조에 2025년 영업이익 수백억 원 수준이다.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SK하이닉스가 가장 싸 보이지만 이건 역대 최고 이익이 지속된다는 전제다. 한미반도체와 이수페타시스가 비싸 보이지만 이건 2026~2027년 이익이 40~55% 더 성장한다는 전제다. 대덕전자가 가장 싸 보이는 건 턴어라운드 초기라 이익이 아직 작기 때문이다. 밸류에이션은 "지금 얼마를 버느냐"가 아니라 "앞으로 얼마나 더 벌 수 있느냐"로 결정된다.</w:t>
      </w:r>
    </w:p>
    <w:p w:rsidR="008210DB" w:rsidRPr="00F3770B" w:rsidRDefault="008210DB" w:rsidP="008210DB">
      <w:pPr>
        <w:pStyle w:val="font-claude-response-body"/>
        <w:rPr>
          <w:rFonts w:ascii="Pretendard Medium" w:eastAsia="Pretendard Medium" w:hAnsi="Pretendard Medium"/>
        </w:rPr>
      </w:pPr>
      <w:r w:rsidRPr="00F3770B">
        <w:rPr>
          <w:rFonts w:ascii="Pretendard Medium" w:eastAsia="Pretendard Medium" w:hAnsi="Pretendard Medium"/>
        </w:rPr>
        <w:t>이 기업들의 공통점은 하나다. 하이퍼스케일러의 AI 인프라 투자가 지속되는 한, 이 기업들의 실적도 성장한다. CAPEX가 꺾이면 전부 같이 꺾인다. PART 7에서 이 리스크를 상세히 다룬다.</w:t>
      </w:r>
    </w:p>
    <w:p w:rsidR="00F842D0" w:rsidRPr="00F3770B" w:rsidRDefault="00F842D0" w:rsidP="00F842D0">
      <w:pPr>
        <w:pStyle w:val="font-claude-response-body"/>
        <w:rPr>
          <w:rFonts w:ascii="Pretendard Medium" w:eastAsia="Pretendard Medium" w:hAnsi="Pretendard Medium"/>
        </w:rPr>
      </w:pPr>
      <w:r w:rsidRPr="00F3770B">
        <w:rPr>
          <w:rFonts w:ascii="Pretendard Medium" w:eastAsia="Pretendard Medium" w:hAnsi="Pretendard Medium"/>
        </w:rPr>
        <w:t>.</w:t>
      </w:r>
    </w:p>
    <w:p w:rsidR="00F842D0" w:rsidRPr="00F3770B" w:rsidRDefault="00F842D0">
      <w:pPr>
        <w:rPr>
          <w:rFonts w:ascii="Pretendard Medium" w:eastAsia="Pretendard Medium" w:hAnsi="Pretendard Medium"/>
        </w:rPr>
      </w:pPr>
    </w:p>
    <w:p w:rsidR="00261FA2" w:rsidRPr="00A866DC" w:rsidRDefault="00261FA2" w:rsidP="00261FA2">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6. 한국 기업 분석 — 코스닥 소부장</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이 파트에서는 AI 반도체 밸류체인의 한국 코스닥 상장 기업 8개를 분석한다. 패키징·테스트 장비(이오테크닉스, 테크윙, ISC, 리노공업), 전공정 장비(주성엔지니어링, 원익IPS), 광통신(옵티코어, 파이버프로) 순서다. PART 5의 코스피 대형주가 "AI 반도체의 본체"라면, 이 기업들은 "본체를 만들기 위해 반드시 필요한 도구와 부품"이다. 삼성전자·SK하이닉스가 70조 원을 설비투자에 쓸 때, 그 70조 원의 상당 부분이 이 기업들의 장비·소재·부품을 사는 데 쓰인다.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이오테크닉스 (039030)</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레이저 장비 / 웨이퍼 그루빙·마킹·절단</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코스닥 상장. 반도체를 만들 때 웨이퍼를 자르고, 칩 위에 글자를 새기고, 표면을 깎아내는 데 레이저가 쓰인다. 이오테크닉스는 이 레이저 장비를 만드는 국내 1위 기업이다. 핵심 제품은 세 가지다. 레이저 마커(칩에 식별 정보를 새기는 장비), 레이저 그루빙(웨이퍼를 칩 단위로 자르기 위해 홈을 파는 장비), 레이저 어닐링(실리콘 결정 구조를 열처리로 개선하는 장비). HBM 적층 공정에서 웨이퍼를 얇게 깎고 자르는 데 레이저 그루빙이 필수이며, 첨단 패키징의 복잡도가 올라갈수록 레이저 장비 수요가 동시에 올라간다.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에프앤가이드 기준 2025년 3분기 누적 매출은 전년 동기 대비 21.4% 증가, 영업이익은 187.3% 증가했다. 레이저 응용 분야 확대로 신규 제품 수요가 증가하면서 실적이 크게 개선됐다. 연간 매출은 약 3,200억 원 수준으로 추정된다.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2026년 전망은 SK증권 기준 매출 4,800억 원, 영업이익 1,238억 원으로 역대 최고 실적이 전망된다. 전년 대비 매출 50%, 영업이익 200% 이상 성장하는 구조다.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피코세컨드 레이저 그루빙 기술에서 일본 디스코(DISCO)를 제치고 애플·엔비디아 공급을 확보했다. 업계 보도에 따르면 애플이 M4 칩 생산에 이오테크닉스의 피코세컨드 그루빙 기술을 세계 최초로 적용했고, 엔비디아도 하반기 생산 칩에 적용했다. 브로드컴, 퀄컴 등도 해당 기술을 채택할 것으로 알려져 있다. 일본 디스코가 수십 년간 지배하던 시장을 한국 기업이 기술 전환 시점에 빼앗은 것이다.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lastRenderedPageBreak/>
        <w:t>둘째, HBM 적층 단수 증가가 직접 수혜다. HBM3E가 12단, HBM4가 16단으로 올라갈수록 웨이퍼를 더 얇게 깎아야 하고, 더 정밀하게 잘라야 한다. 레이저 그루빙과 스텔스 다이싱 수요가 동시에 늘어난다.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삼성전자 P4라인 및 1b나노 공정 전환에 따른 레이저 어닐링 장비 수요 확대가 2026년 실적의 또 다른 축이다.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밸류에이션이 극도로 높다. 2026년 실적 전망이 달성되더라도 여전히 성장 프리미엄이 상당히 반영된 가격이다.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삼성전자·SK하이닉스 설비투자 사이클에 매출이 연동된다. 고객사 투자가 조정되면 장비 발주가 줄어든다.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레이저 마커 등 기존 제품군은 성숙 시장이라 성장이 제한적이다. 성장의 핵심은 그루빙·어닐링 등 신규 장비인데, 이 제품들의 램프업 속도가 관건이다.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테크윙 (089030)</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테스트 핸들러 / 큐브 프로버(HBM 전용 테스트)</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코스닥 상장. 테크윙은 메모리 반도체를 생산한 뒤 전기적 기능을 검사하는 "테스트 핸들러"를 만드는 글로벌 1위 기업이다. SK하이닉스와 마이크론의 메모리 핸들러 1st 벤더(최우선 공급사)다.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2025년 연간 매출 1,591억 원, 영업이익 164억 원. 3분기 누적 기준 전년 동기 대비 매출 9.1% 감소, 영업이익 19.4% 감소로 부진했다. 4분기 매출 339억 원, 영업이익 12억 원으로 바닥을 확인한 구간이다. 글로벌 경기 둔화로 범용 메모리 장비 수요가 위축됐기 때문이다.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그러나 2026년 전망이 극적으로 달라진다. 증권가 컨센서스 기준 2026년 매출 3,695억 원(+132%), 영업이익 883억 원(+438%)이라는 퀀텀점프가 전망된다. 이유는 하나다. 큐브 프로버(Cube Prober).</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핵심 강점 — 큐브 프로버</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큐브 프로버는 테크윙이 새로 출시한 HBM 전용 테스트 장비다. 256개의 HBM 칩을 동시에 테스트할 수 있다. HBM은 DRAM을 12~16단 쌓은 초고집적 제품이라 일반 DRAM보다 테스트가 훨씬 까다롭다. 적층 과정에서 불량이 발생하면 전체 스택이 폐기되므로, 적층 전·후 단계에서 정밀 테스트가 필수다. 큐브 프로버가 이 테스트를 담당한다.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삼성전자향으로 이미 수주가 발생했고, SK하이닉스향 퀄리피케이션(품질 검증) 테스트도 통과한 것으로 파악된다. 2025년 큐브 프로버 예상 출하량이 약 120~150대, 매출 약 3,000억 원 규모다. 큐브 프로버 양산 매출이 최대 6,000억 원까지 발생할 수 있다는 시나리오도 증권가에서 제기되고 있다.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기존 테스트 핸들러 사업이 삼성·SK 양사 1st 벤더라는 안정적 기반 위에, HBM 전용 신장비가 올라타면서 2026~2027년 이익 폭발이 예상되는 구조다.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큐브 프로버 납품 일정이 지연될 경우 2026년 실적 급반등 시나리오에 균열이 생긴다. SK하이닉스·마이크론 납품 시점이 핵심 변수다.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2025년이 실적 바닥이었으므로 현재 주가는 2026년 이익 폭발을 상당히 선반영하고 있다.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환율 급등 시 파생상품 손실이 재현될 수 있다. 2025년 사례에서 이미 확인된 리스크다.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ISC (095340)</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HBM 테스트 소켓 / AI 반도체 테스트 인터페이스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코스닥 상장. 반도체를 테스트할 때, 칩과 테스트 장비를 물리적으로 연결하는 부품이 "테스트 소켓"이다. ISC는 이 테스트 소켓을 만드는 기업으로, HBM과 AI 가속기(GPU, ASIC) 테스트 수요 급증의 직접 수혜주다.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lastRenderedPageBreak/>
        <w:t>2025년 3분기 매출 645억 원(전년 동기 대비 +28%), 영업이익 174억 원(+26%)으로 매출·영업이익 모두 3년 최고치를 기록했다. AI 가속기와 ASIC 고객사 테스트 수요가 증가했고, 스마트폰 고객사의 플래그십 출시로 AP 테스트 매출도 늘었다.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HBM 적층 단수가 올라갈수록 테스트 난이도가 상승하고, 테스트 소켓 수요가 늘어난다. 12단→16단으로 적층이 늘면 테스트 핀 수도 늘어나고, 소켓 교체 주기도 빨라진다. 소모품 성격이 강해서 반복 수요가 안정적이다.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AI 가속기(GPU, ASIC) 테스트 시장에도 진출하고 있다. 기존 메모리 테스트 소켓에서 비메모리 AI 칩까지 고객층이 확대되면서 매출원이 다각화되고 있다. 글로벌 메모리 고객사에 초도 공급도 예정돼 있다.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프로웰 인수로 포고소켓(또 다른 유형의 테스트 인터페이스) 시장까지 진출하면서 제품 포트폴리오를 확장했다.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연간 영업이익 수백억 원 수준에 비해 밸류에이션이 높은 편이다. 메모리 업황에 테스트 수요가 직접 연동되므로, 메모리 투자 사이클 하강 시 실적이 급감할 수 있다. 리노공업과 테스트 소켓 시장에서 경쟁하고 있다.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리노공업 (058470)</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테스트 소켓 / IC와 테스트 장비를 연결하는 소모품</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코스닥 상장. 리노공업은 ISC와 같은 테스트 소켓 시장에 있지만, 포지셔닝이 다르다. ISC가 HBM과 AI 가속기 등 첨단 제품에 집중한다면, 리노공업은 메모리·비메모리 전 영역에 걸쳐 안정적으로 테스트 소켓을 공급하는 "소모품 대장주"다.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2025년 3분기 개별 기준 매출 968억 원(전년 동기 대비 +40%), 영업이익 483억 원(+57%). 영업이익률이 약 50%에 달한다. 한국 코스닥 상장사 전체를 통틀어도 최상위권 수익성이다.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핵심 강점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영업이익률 50%라는 압도적 수익성이다. 테스트 소켓은 소모품이라 반복 교체가 필요하고, 고객 전환 비용이 높다. 한번 리노공업 소켓으로 테스트 라인을 세팅하면 다른 업체로 바꾸기 어렵다. 이 "스티키한" 수요 구조가 50% 마진의 비결이다.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반도체 시장 전반의 테스트 수요에 연동되는 포트폴리오다. HBM만이 아니라 DRAM, NAND, 비메모리, 자동차 칩 등 전 분야의 테스트에 리노공업 소켓이 쓰인다. 특정 제품 한 가지에 의존하지 않으므로 실적 변동성이 상대적으로 낮다.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AI 반도체 테스트 횟수 증가가 구조적 수혜다. AI 칩은 일반 칩보다 복잡하고 비싸기 때문에 불량률을 극한까지 낮춰야 한다. 테스트 횟수가 늘어날수록 소켓 소모량이 증가한다.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성장률 대비 밸류에이션이 안정적이지만, 코스닥 소부장 중 시총이 가장 큰 편에 속한다. 성장 기울기가 테크윙이나 주성엔지니어링 대비 완만한 대신, 실적 안정성은 가장 높다. "폭발적 성장"보다 "안정적 고마진 성장"을 원하는 투자자에게 적합한 기업이다.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주성엔지니어링 (036930)</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ALD(원자층 증착) 장비 / GAA 전환 핵심</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코스닥 상장. PART 1 용어 사전에서 설명한 ALD(원자층 증착)를 기억하면 된다. 원자 한 층씩 박막을 쌓는 초정밀 증착 기술인데, GAA 구조의 2nm 이하 칩을 만들려면 ALD 없이는 불가능하다. 주성엔지니어링이 이 ALD 장비를 만드는 한국 대표 기업이다.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2025년 연간 매출 3,106억 원(전년 대비 -24.1%), 영업이익 312억 원(-67.8%). 4분기 단독으로는 매출 523억 원에 영업손실 126억 원으로 적자 전환했다. 디스플레이·태양광 장비 부문 매출이 사실상 증발 수준으로 줄면서 반도체 의존 구조가 심화된 결과다.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그러나 시장은 이미 2026년을 보고 있다. 하나증권·KB증권·한국투자증권 등 주요 기관이 전원 매수 의견을 유지하며 2026년 매출 4,500억 원(+45%), 영업이익 1,213억 원(+289%)을 전망하고 있다.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핵심 강점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GAA 공정 전환의 직접 수혜주다. TSMC, 삼성전자, 인텔 모두 2nm 이하 공정에서 GAA 트랜지스터를 채택하는데, GAA 구조에는 ALD로 초정밀 박막을 입혀야 한다. 2nm 공정의 ALD 사용량은 기존 공정 대비 수배 증가한다. 주성엔지니어링이 글로벌 ALD 시장에서 ASM International(네덜란드)과 함께 양대 플레이어다.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해외 고객 다변화에 성공하고 있다. 중국 CXMT향 수주를 확보했고, 마이크론 시생산 라인에 ALD 장비 공급을 앞두고 있다(NH투자증권). 대만·미국·유럽 등으로 판로 확대에 집중하고 있어, SK하이닉스 M15X 발주 수혜와 함께 북미·대만 신규 고객사 확대가 2026년 실적 반등의 핵심 동력이다.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2025년이 실적 바닥이었다. 4분기 적자 전환은 디스플레이·태양광 부문의 일시적 매출 공백 때문이지, ALD 장비 수요가 줄어서가 아니다. 2026년부터 반도체 부문에 매출이 집중되면서 실적이 급반등할 구조다.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2025년 영업이익이 312억 원으로 급감한 상태에서 현재 밸류에이션은 2026년 이익 폭발을 완전히 선반영하고 있다. 기대대로 안 되면 주가 하방 리스크가 크다.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중국 매출 의존도가 높다. 미중 수출 통제 강화 시 중국향 장비 수출이 제한될 수 있다.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디스플레이·태양광 부문의 구조적 매출 감소가 반도체 부문 성장으로 충분히 상쇄되는지 분기마다 확인이 필요하다.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원익IPS (240810)</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CVD(화학기상증착) 장비 / 삼성전자 파운드리·메모리 핵심 공급사</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코스닥 상장. 원익IPS는 반도체 제조의 핵심 공정인 CVD(박막 증착) 장비를 만드는 회사다. 주성엔지니어링이 ALD(원자층 증착)를 만든다면, 원익IPS는 CVD(화학기상증착)를 만든다. 둘 다 웨이퍼 위에 박막을 입히는 장비지만, CVD가 더 빠르고 ALD가 더 정밀하다. 두 기술은 경쟁이 아니라 보완 관계로, 같은 칩을 만들 때 CVD와 ALD가 모두 필요하다.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lastRenderedPageBreak/>
        <w:t>2025년 4분기 매출 2,948억 원(전년 동기 대비 +30.8%), 영업이익 259억 원(+115.6%)으로 실적 턴어라운드를 확인했다. 반도체 매출 비중이 70%로 확대됐고, NAND P4 증설과 삼성전자 중국 법인 수주가 실적 개선을 견인했다. 2025년 상반기에는 삼성전자 설비투자 하향 조정 여파로 적자 구간이 있었으나, 하반기부터 급격히 회복됐다.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2026년에는 삼성전자 테일러 팹(미국 텍사스)과 SK하이닉스 신공장 장비 공급이 본격화되면서 연간 매출 1조 원 돌파가 예상된다. 영업이익률도 10% 이상으로 개선될 전망이다.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삼성전자 파운드리·메모리의 CVD 핵심 공급사라는 캡티브(전속) 구조다. 삼성전자가 설비투자를 하면 원익IPS 장비가 들어간다. 2026년 삼성전자 설비투자가 전년 대비 확대될 전망이므로, 원익IPS 실적도 직접 연동된다.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삼성전자 테일러 팹(미국)에 장비를 공급하면서 해외 매출이 확대된다. 미국 CHIPS Act에 따른 미국 내 반도체 제조 확대가 원익IPS에도 수혜로 돌아오는 구조다.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OLED 디스플레이 장비도 매출의 30%를 차지하며, IT용 OLED 패널 수요 확대로 이 부문도 안정적 성장이 예상된다.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삼성전자 설비투자 사이클에 극도로 민감하다. 2025년 상반기에 삼성전자가 투자를 줄이자 원익IPS가 바로 적자 전환한 전례가 있다. 삼성전자 한 곳에 대한 의존도가 높다는 구조적 약점이다.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주성엔지니어링 대비 해외 고객 다변화가 더디다. 주성엔지니어링이 중국·대만·미국으로 고객을 넓히고 있는 반면, 원익IPS는 삼성전자 비중이 압도적이다.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영업이익률이 아직 한 자릿수대로, 글로벌 장비사(Applied Materials 29%, Lam Research 30%) 대비 수익성이 낮다.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옵티코어 (445090)</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800G 광트랜시버 / AI 데이터센터 광통신</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lastRenderedPageBreak/>
        <w:t>코스닥 상장. PART 2에서 설명한 것처럼, AI 데이터센터에서 GPU 수천 개가 동시에 작동하려면 초고속 광통신이 필수다. 옵티코어는 800G 광트랜시버를 국내에서 유일하게 개발·생산하는 기업이다. 광트랜시버는 전기 신호를 빛 신호로, 빛 신호를 전기 신호로 바꿔주는 부품으로, 데이터센터 내 서버 간 통신의 핵심이다.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800G 광트랜시버 국내 유일 생산 기업이라는 희소성이다. 글로벌 시장에서는 미국의 Coherent, 중국의 Innolight 등이 경쟁하지만, 한국 내에서 800G를 양산할 수 있는 기업은 옵티코어뿐이다.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엔비디아 로드맵에 의해 수요가 확정돼 있다. Vera Rubin 플랫폼의 Spectrum-6 SPX 스위치에 실리콘 포토닉스 CPO가 적용되고, NVLink 6이 GPU당 3.6TB/s 대역폭을 제공하는데, 이 연결에 400G/800G 광트랜시버가 대량으로 필요하다. 엔비디아 FY2026 네트워킹 매출이 전년 대비 +142% 성장한 것이 광통신 수요 폭발의 증거다.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밸류체인에서 "가장 새로 열리는 시장"에 위치한다. GPU, HBM은 이미 수년간 수혜를 받아왔지만, 광통신은 이제 막 본격 성장이 시작되는 단계다.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첫째, 아직 매출 규모가 작고 실적이 본격화 전이다. 기대감으로 주가가 움직이는 단계이므로 변동성이 극히 크다.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둘째, 글로벌 광트랜시버 시장에서 중국 Innolight가 가격 경쟁력을 앞세워 점유율을 급속히 확대하고 있다. 옵티코어가 기술과 가격 양쪽에서 글로벌 경쟁을 버틸 수 있는지가 핵심 변수다.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셋째, 시총이 작아 유동성 리스크가 있다. 기관·외국인의 대량 매매에 주가가 크게 흔들릴 수 있다.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파이버프로 (214610)</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광섬유 소재 / 광통신 인프라의 기초</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lastRenderedPageBreak/>
        <w:t>코스닥 상장. 옵티코어가 광트랜시버(빛을 전기로, 전기를 빛으로 바꾸는 장치)를 만든다면, 파이버프로는 그 빛이 지나가는 광섬유 소재를 만드는 회사다. 광통신 인프라의 가장 기초가 되는 소재 기업이다.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AI 데이터센터가 확장될수록 데이터센터 간, 서버룸 간 광케이블 수요가 동시에 늘어난다. 코닝(Corning)이 글로벌 광케이블 1위인데, 한국에서 광섬유 소재를 공급하는 기업은 파이버프로가 핵심이다. 엔비디아가 루멘텀과 코히런트에 5.8조 원을 투자한 배경이 실리콘 포토닉스와 CPO 기술 선점이고, 이 광통신 인프라 확대의 가장 아래에 광섬유 소재가 위치한다.</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옵티코어보다 더 초기 단계의 투자다. 매출 규모가 작고, 광통신 소재 시장에서 글로벌 대비 경쟁력 입증이 아직 부족하다. 시총이 극히 작아 유동성 리스크가 크다. 광통신 테마가 꺼지면 주가가 급락할 수 있다. 실적이 본격화되기 전 단계이므로 리스크가 가장 높지만, 엔비디아 로드맵에 의해 수요가 확정돼 있다는 점에서 방향성은 확인된 기업이다.</w:t>
      </w:r>
    </w:p>
    <w:p w:rsidR="00261FA2" w:rsidRPr="00F3770B" w:rsidRDefault="00261FA2" w:rsidP="00261FA2">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261FA2" w:rsidRPr="00F3770B" w:rsidRDefault="00261FA2" w:rsidP="00261FA2">
      <w:pPr>
        <w:pStyle w:val="font-claude-response-body"/>
        <w:rPr>
          <w:rFonts w:ascii="Pretendard Medium" w:eastAsia="Pretendard Medium" w:hAnsi="Pretendard Medium"/>
        </w:rPr>
      </w:pPr>
      <w:r w:rsidRPr="00F3770B">
        <w:rPr>
          <w:rStyle w:val="a3"/>
          <w:rFonts w:ascii="Pretendard Medium" w:eastAsia="Pretendard Medium" w:hAnsi="Pretendard Medium"/>
        </w:rPr>
        <w:t>코스닥 소부장 밸류에이션 비교</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코스닥 소부장 8개 기업의 공통점은 "AI 반도체 밸류체인의 특정 병목을 해결하는 위치"에 있다는 것이다. 이오테크닉스가 레이저 가공의 병목을, 테크윙이 HBM 테스트의 병목을, 주성엔지니어링이 GAA 공정의 병목을 해결한다. 병목을 해결하는 기업은 대체제가 없으므로 가격 결정력이 있고, 마진이 높다.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리노공업의 영업이익률 50%가 이를 단적으로 보여준다. 소모품(테스트 소켓)인데 마진이 50%라는 건, 고객이 리노공업 소켓 없이는 칩을 테스트할 수 없다는 뜻이다.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수익성으로 줄을 세우면 리노공업(약 50%) &gt; 한미반도체(43.6%, PART 5) &gt; 이오테크닉스(2026년 전망 26%) &gt; 주성엔지니어링(2026년 전망 27%) &gt; ISC(약 27%) &gt; 테크윙(2026년 전망 24%) &gt; 원익IPS(2026년 전망 10%+) 순이다. 수익성이 높을수록 "대체 불가능한 위치"에 있다는 뜻이고, 시장이 부여하는 밸류에이션 프리미엄도 높다.</w:t>
      </w:r>
    </w:p>
    <w:p w:rsidR="00261FA2" w:rsidRPr="00F3770B" w:rsidRDefault="00261FA2" w:rsidP="00261FA2">
      <w:pPr>
        <w:pStyle w:val="font-claude-response-body"/>
        <w:rPr>
          <w:rFonts w:ascii="Pretendard Medium" w:eastAsia="Pretendard Medium" w:hAnsi="Pretendard Medium"/>
        </w:rPr>
      </w:pPr>
      <w:r w:rsidRPr="00F3770B">
        <w:rPr>
          <w:rFonts w:ascii="Pretendard Medium" w:eastAsia="Pretendard Medium" w:hAnsi="Pretendard Medium"/>
        </w:rPr>
        <w:t xml:space="preserve">중요한 것은 이 기업들의 실적이 결국 삼성전자·SK하이닉스의 설비투자, 그리고 그 위의 엔비디아·TSMC의 생산 계획에 연동된다는 점이다. CAPEX가 줄면 장비 발주가 줄고, 장비 </w:t>
      </w:r>
      <w:r w:rsidRPr="00F3770B">
        <w:rPr>
          <w:rFonts w:ascii="Pretendard Medium" w:eastAsia="Pretendard Medium" w:hAnsi="Pretendard Medium"/>
        </w:rPr>
        <w:lastRenderedPageBreak/>
        <w:t>발주가 줄면 소부장 매출이 줄어든다. 개별 기업의 기술력도 중요하지만, 최종적으로는 AI 인프라 투자 사이클이 이 기업들의 운명을 결정한다.</w:t>
      </w:r>
    </w:p>
    <w:p w:rsidR="00F842D0" w:rsidRPr="00F3770B" w:rsidRDefault="00F842D0">
      <w:pPr>
        <w:rPr>
          <w:rFonts w:ascii="Pretendard Medium" w:eastAsia="Pretendard Medium" w:hAnsi="Pretendard Medium"/>
        </w:rPr>
      </w:pPr>
    </w:p>
    <w:p w:rsidR="00261FA2" w:rsidRPr="00F3770B" w:rsidRDefault="00261FA2">
      <w:pPr>
        <w:rPr>
          <w:rFonts w:ascii="Pretendard Medium" w:eastAsia="Pretendard Medium" w:hAnsi="Pretendard Medium"/>
        </w:rPr>
      </w:pPr>
    </w:p>
    <w:p w:rsidR="00F3770B" w:rsidRDefault="00F3770B">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Default="00A866DC">
      <w:pPr>
        <w:rPr>
          <w:rFonts w:ascii="Pretendard Medium" w:eastAsia="Pretendard Medium" w:hAnsi="Pretendard Medium"/>
        </w:rPr>
      </w:pPr>
    </w:p>
    <w:p w:rsidR="00A866DC" w:rsidRPr="00F3770B" w:rsidRDefault="00A866DC">
      <w:pPr>
        <w:rPr>
          <w:rFonts w:ascii="Pretendard Medium" w:eastAsia="Pretendard Medium" w:hAnsi="Pretendard Medium" w:hint="eastAsia"/>
        </w:rPr>
      </w:pPr>
    </w:p>
    <w:p w:rsidR="00F3770B" w:rsidRPr="00A866DC" w:rsidRDefault="00F3770B" w:rsidP="00F3770B">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7. 최신 트렌드 + 위험 요인 + 투자 타임라인</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(1) 최신 트렌드 — 2026년 3월 기준</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GTC 2026이 보여준 방향</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2026년 3월 16일, 젠슨 황 엔비디아 CEO가 GTC 2026에서 Vera Rubin 플랫폼을 발표했다. 이번 발표의 핵심은 단순히 새 GPU가 나왔다는 게 아니다. 엔비디아가 "GPU를 파는 회사"에서 "AI 공장 전체를 설계하고 파는 회사"로 완전히 전환했음을 공식 선언한 자리였다.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Vera Rubin 플랫폼에는 7개의 칩이 모두 양산에 들어갔다. 루빈 GPU(TSMC 3nm, HBM4 288GB), Vera CPU(88코어 ARM), Groq 3 LPU(추론 전용, 삼성 4nm), NVLink 6 Switch, ConnectX-9 SuperNIC(1.6Tb/s), BlueField-4 DPU, Spectrum-6 SPX(실리콘 포토닉스 CPO 적용). 이 7개 칩이 5종 랙으로 조합되고, 5종 랙 40개가 합쳐지면 Vera Rubin POD가 완성된다. POD 1개에 루빈 GPU 1,152개, 약 2만 개의 엔비디아 칩, 60 엑사FLOPS의 연산 능력이 들어간다.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젠슨 황은 블랙웰과 루빈을 합산해 2027년까지 1조 달러의 주문 전망을 밝혔다. 작년에 발표한 5,000억 달러 목표를 1년 만에 2배로 상향한 것이다. AWS는 루빈 GPU 100만 개 이상 배치를 발표했고, 마이크로소프트 애저에는 이미 첫 번째 Vera Rubin NVL72 랙이 가동 중이다. Anthropic, 메타, Mistral AI, OpenAI가 초기 고객으로 확정됐다.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차차세대 아키텍처 '파인만(Feynman)'도 예고됐다. 2028년 출시 예정으로, TSMC 1.6nm 공정과 실리콘 포토닉스가 칩 내부까지 적용될 전망이다. 새로운 CPU 'Rosa', 차세대 LPU 'LP40', BlueField-5, CX10을 포함하며, AI 팩토리의 모든 핵심 요소를 동시에 진보시키는 플랫폼으로 설계된다.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이 발표가 밸류체인에 미치는 영향은 직접적이다. 루빈 GPU에 HBM4 288GB가 탑재되므로 SK하이닉스와 삼성전자의 HBM4 수요가 직접 증가한다. KB증권에 따르면 SK하이닉스가 루빈용 HBM4 수요의 약 60%를 공급할 것으로 전망된다. TSMC 3nm 공정으로 제조되므로 TSMC 첨단 라인 가동률이 올라간다. Groq 3 LPU는 삼성 4nm 파운드리로 제조되므로 삼성전자 파운드리 사업부에도 물량이 잡힌다. NVL72 랙 1개에 약 130만 개의 부품이 들어가므로 기판, 패키징, 테스트 장비, 광통신 수요가 전부 늘어난다.</w:t>
      </w:r>
    </w:p>
    <w:p w:rsidR="00A866DC" w:rsidRDefault="00A866DC" w:rsidP="00F3770B">
      <w:pPr>
        <w:pStyle w:val="font-claude-response-body"/>
        <w:rPr>
          <w:rStyle w:val="a3"/>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HBM4 양산 삼파전</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SK하이닉스는 2025년 9월 세계 최초 HBM4 양산 체제를 구축하고 4분기부터 출하를 시작했다. 삼성전자는 2026년 2월 HBM4 세계 최초 양산 출하를 발표하며 반격에 나섰다. 마이크론은 HBM4 재설계를 진행 중이지만 양산 시점이 SK하이닉스·삼성보다 늦을 것으로 관측된다.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HBM4는 전작(HBM3E) 대비 대역폭이 2배 이상(약 2.8TB/s), 단가도 20~30% 비싸다. BofA 기준 2026년 HBM 시장 규모는 약 546억 달러(약 73조 원)로 전년 대비 58% 성장이 전망된다. HBM4 세대에서 SK하이닉스가 기존 50% 점유율을 유지할 수 있을지, 삼성전자가 얼마나 빼앗을 수 있을지가 2026년 메모리 반도체 투자의 최대 변수다.</w:t>
      </w:r>
    </w:p>
    <w:p w:rsidR="00A866DC" w:rsidRPr="00F3770B" w:rsidRDefault="00A866DC" w:rsidP="00F3770B">
      <w:pPr>
        <w:pStyle w:val="font-claude-response-body"/>
        <w:rPr>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파운드리 2nm 전쟁</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TSMC가 2nm(N2) 양산을 2025년 하반기에 시작했고, 2026년에 스마트폰과 HPC AI 양쪽에서 본격 램프업된다. N2P(성능 강화판)가 2026년 하반기, A16(백사이드 전력공급 기술 적용)이 2026년 하반기 양산 예정이다. 삼성전자도 2nm(SF2) 양산을 시작했고 퀄컴·테슬라와 위탁생산 협의를 진행 중이다. 인텔은 18A(1.8nm급) 공정의 수율을 개선 중이며, 마이크로소프트·아마존과 파운드리 계약을 확보한 상태다.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핵심은 수율 격차다. TSMC 2nm 수율이 80% 이상인 반면, 삼성은 60%대로 추정된다. 이 20%p 수율 격차가 곧 원가 격차이고, 고객 확보 격차이고, 주가 격차다. 삼성전자 파운드리가 이 격차를 좁히느냐가 삼성전자 리레이팅의 핵심 변수다.</w:t>
      </w:r>
    </w:p>
    <w:p w:rsidR="00A866DC" w:rsidRPr="00F3770B" w:rsidRDefault="00A866DC" w:rsidP="00F3770B">
      <w:pPr>
        <w:pStyle w:val="font-claude-response-body"/>
        <w:rPr>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4대 병목의 이동</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AI 반도체 밸류체인의 병목이 시간에 따라 이동하고 있다.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2024~2025년의 병목은 HBM이었다. HBM3E 공급이 수요를 따라가지 못해 엔비디아 GPU 출하가 지연됐다. 2026년에는 HBM4 양산이 궤도에 오르면서 이 병목이 완화되기 시작한다.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 xml:space="preserve">2026년의 새로운 병목은 광통신과 CoWoS 패키징이다. Vera Rubin NVL72 랙에 800G/1.6T 광트랜시버가 대량으로 필요한데, 공급이 부족하다. TSMC의 CoWoS 패키징 라인도 엔비디아 물량을 따라가지 못하고 있다. TSMC는 CoWoS 월 생산능력을 2026년 </w:t>
      </w:r>
      <w:r w:rsidRPr="00F3770B">
        <w:rPr>
          <w:rFonts w:ascii="Pretendard Medium" w:eastAsia="Pretendard Medium" w:hAnsi="Pretendard Medium"/>
        </w:rPr>
        <w:lastRenderedPageBreak/>
        <w:t>말까지 11만~12.5만 장으로 확대할 계획이지만(번스타인, 트렌드포스 추정), 이 물량이 전부 사전 예약된 상태다.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2027~2028년에는 기판(FC-BGA 대형화)과 전력·냉각이 새로운 병목으로 부상할 전망이다. AI GPU의 전력 소비가 계속 올라가면서 데이터센터의 전력 공급과 냉각이 근본적 제약이 된다. Vera Rubin POD가 전량 액체 냉각(45도 온수)으로 설계된 것이 이 병목에 대한 엔비디아의 해법이다. 전력·냉각 인프라는 이 보고서의 범위를 넘어서므로 별도 섹터(전력기기 인프라)에서 다룰 예정이다.</w:t>
      </w:r>
    </w:p>
    <w:p w:rsidR="00A866DC" w:rsidRPr="00F3770B" w:rsidRDefault="00A866DC" w:rsidP="00F3770B">
      <w:pPr>
        <w:pStyle w:val="font-claude-response-body"/>
        <w:rPr>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엔비디아 광통신 투자 — 상용화 원년</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엔비디아가 루멘텀(Lumentum)과 코히런트(Coherent)에 각각 최대 20억 달러씩, 합산 약 5.8조 원의 지분 투자를 단행했다. 이건 단순한 재무 투자가 아니라, 실리콘 포토닉스와 CPO 기술을 자사 플랫폼에 내재화하겠다는 전략적 투자다. Vera Rubin의 Spectrum-6 SPX 스위치에 CPO가 처음 적용됐고, 2028년 파인만 아키텍처부터는 칩 내부까지 실리콘 포토닉스가 도입될 전망이다.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이 투자가 밸류체인에 의미하는 바는 명확하다. 광통신이 AI 반도체의 필수 구성 요소로 편입됐다는 것이다. GPU, HBM, 파운드리만큼이나 광트랜시버와 광케이블이 중요해진다. 한국의 옵티코어(800G 광트랜시버), 파이버프로(광섬유 소재)가 이 시장에 위치한다. 엔비디아 FY2026 네트워킹 매출이 전년 대비 +142% 성장한 것이 방향성을 증명한다.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(2) 위험 요인</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DeepSeek형 효율화 리스크</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PART 1에서 제본스 역설을 설명하면서 "효율화가 수요를 줄이는 게 아니라 오히려 폭발시킨다"고 했다. 이건 중장기적으로 맞는 논리다. 그러나 단기적으로는 다른 이야기가 나올 수 있다. DeepSeek처럼 적은 GPU로도 고성능 모델을 만들 수 있다는 인식이 퍼지면, "하이퍼스케일러가 CAPEX를 줄이지 않을까"라는 의문이 시장에 제기된다. 2025년 1월 DeepSeek R1 공개 당일 엔비디아 시총이 6,000억 달러 증발한 것이 이 리스크의 실체다.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 xml:space="preserve">하이퍼스케일러 CAPEX가 줄어들면 밸류체인 전체가 타격을 받는다. GPU 발주가 줄고, HBM 수요가 줄고, 장비 발주가 줄고, 기판 수요가 줄어든다. PART 5·6에서 분석한 모든 </w:t>
      </w:r>
      <w:r w:rsidRPr="00F3770B">
        <w:rPr>
          <w:rFonts w:ascii="Pretendard Medium" w:eastAsia="Pretendard Medium" w:hAnsi="Pretendard Medium"/>
        </w:rPr>
        <w:lastRenderedPageBreak/>
        <w:t>기업의 실적이 동시에 흔들린다. 2026년 3월 현재 하이퍼스케일러 CAPEX는 오히려 상향 추세이므로 즉각적 리스크는 아니지만, 항상 모니터링해야 하는 변수다.</w:t>
      </w:r>
    </w:p>
    <w:p w:rsidR="00A866DC" w:rsidRPr="00F3770B" w:rsidRDefault="00A866DC" w:rsidP="00F3770B">
      <w:pPr>
        <w:pStyle w:val="font-claude-response-body"/>
        <w:rPr>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미중 수출 통제</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미국의 대중국 반도체 수출 통제는 2022년 이후 지속적으로 강화돼왔다. EUV 장비의 중국 수출은 완전 차단됐고, 엔비디아의 중국향 칩은 H100→H800→H20→수출 허가제로 단계적 제한이 이어져왔다. 트럼프 행정부에서 정책이 오락가락하면서 H20 판매 재개, GTC 2026에서 H200 중국 판매 재개까지 발표됐지만, 장기적으로 첨단 칩의 대중국 수출은 제한 기조가 유지될 가능성이 높다.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한국 기업에도 영향이 있다. 주성엔지니어링의 중국 매출 의존도가 높고, SK하이닉스도 중국 법인을 운영한다. 미중 수출 통제가 강화되면 중국향 장비·부품 수출이 제한될 수 있다.</w:t>
      </w:r>
    </w:p>
    <w:p w:rsidR="00A866DC" w:rsidRPr="00F3770B" w:rsidRDefault="00A866DC" w:rsidP="00F3770B">
      <w:pPr>
        <w:pStyle w:val="font-claude-response-body"/>
        <w:rPr>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밸류에이션 과열</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엔비디아 Forward P/E 25~35배, AMD 56배, 한미반도체 PER 137배, 이수페타시스 PER 99배, 이오테크닉스 PER 118배. 이 숫자들이 정당화되려면 2026~2027년 실적이 컨센서스를 달성하거나 초과해야 한다. 실적이 기대에 못 미치는 순간, 높은 밸류에이션이 주가 하락을 가속시키는 "밸류에이션 트랩"이 될 수 있다.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특히 한국 코스닥 소부장은 2025년 하반기~2026년 초에 주가가 이미 2~5배 올랐다. 이 상승 폭에는 2026~2027년 이익 폭발이 선반영돼 있다. 실적이 기대대로 나오면 주가가 추가 상승하지만, 하나라도 어긋나면 조정 폭이 클 수 있다.</w:t>
      </w:r>
    </w:p>
    <w:p w:rsidR="00A866DC" w:rsidRPr="00F3770B" w:rsidRDefault="00A866DC" w:rsidP="00F3770B">
      <w:pPr>
        <w:pStyle w:val="font-claude-response-body"/>
        <w:rPr>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엔비디아 순환 거래(Circular Deal) 논란</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엔비디아가 스타게이트 같은 프로젝트에 지분 투자를 하면서 동시에 그 프로젝트에 GPU를 납품하는 구조에 대해 일부에서 우려를 제기하고 있다. OpenAI에 투자하고, OpenAI가 엔비디아 GPU를 사고, 엔비디아가 다시 OpenAI 인프라에 투자하는 순환 구조다. 이것이 실질적 수요인지, 인위적으로 부풀려진 것인지에 대한 논쟁이 있다. 엔비디아의 1조 달러 주문 전망에 이 순환 거래가 얼마나 포함돼 있는지는 투명하게 공시되지 않고 있다.</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CoWoS/HBM 공급 병목 장기화</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AI 반도체 수요는 폭발하는데, CoWoS 패키징과 HBM 공급이 따라가지 못하고 있다. 이 병목이 해소되는 데 2~3년이 걸리는데, 그 사이 AI 모델의 수요 증가 속도가 공급 확대 속도를 계속 앞지르면 병목이 장기화된다. 병목이 장기화되면 GPU 출하가 지연되고, 하이퍼스케일러의 AI 서비스 출시가 밀리면서 CAPEX 증가 속도가 둔화될 수 있다.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(3) 투자 타임라인</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단기 (2026~2027) — 가장 확실한 구간</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이 기간은 여러 긍정적 요인이 동시에 작동하는 "골든 타임"이다.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엔비디아 루빈 출하가 2026년 3분기에 시작된다. 블랙웰 매출이 여전히 폭발하는 가운데 루빈이 추가되므로, 엔비디아 매출이 한 단계 더 점프한다. 엔비디아 FY2027(2026.2~2027.1) 컨센서스가 매출 3,000억 달러 이상이다.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HBM4 양산이 본격화된다. SK하이닉스와 삼성전자가 경쟁적으로 HBM4를 출하하면서, 두 기업 모두 실적이 올라간다. HBM4 단가가 HBM3E 대비 20~30% 비싸므로, 같은 양을 팔아도 매출이 더 나온다.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TSMC CoWoS 증설이 가속화된다. 월 생산능력이 2026년 말 11만~12.5만 장으로 확대되면서, GPU 출하 병목이 부분적으로 완화된다. 한미반도체의 TC본더, 이오테크닉스의 레이저 장비 수요가 CoWoS 증설에 직접 연동된다.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한국 소부장 기업들의 실적 턴어라운드가 확인되는 시기이기도 하다. 테크윙의 큐브 프로버, 주성엔지니어링의 ALD, 원익IPS의 CVD, 대덕전자의 FC-BGA가 2026년 상반기~하반기에 걸쳐 실적으로 증명되기 시작한다.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이 구간에서의 전략은 명확하다. 실적 턴어라운드가 확인되는 기업에 집중하고, 분기 실적을 체크하면서 비중을 조절하는 것이다.</w:t>
      </w:r>
    </w:p>
    <w:p w:rsidR="00A866DC" w:rsidRPr="00F3770B" w:rsidRDefault="00A866DC" w:rsidP="00F3770B">
      <w:pPr>
        <w:pStyle w:val="font-claude-response-body"/>
        <w:rPr>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중기 (2027~2028) — 변곡점</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lastRenderedPageBreak/>
        <w:t>루빈 울트라(2027)와 파인만(2028)으로 이어지는 엔비디아 로드맵이 변곡점을 만든다. 파인만에는 TSMC 1.6nm 공정, 실리콘 포토닉스, HBM5(또는 차세대)가 적용될 전망이다. 기술 전환이 한 단계 더 일어나면서, 새로운 장비·소재·부품 수요가 발생한다.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커스텀 ASIC 시장이 GPU 성장률을 추월하기 시작하는 시기이기도 하다. 트렌드포스에 따르면 2026년 이미 커스텀 ASIC 출하량 성장률(44.6%)이 GPU(16.1%)를 크게 앞서고 있다. 이 추세가 2027~2028년까지 이어지면, 브로드컴·마벨 → 코리아써키트 같은 커스텀 ASIC 밸류체인의 수혜가 커진다.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HBM 시장 구조조정도 이 시기에 가시화된다. SK하이닉스·삼성·마이크론 3사의 점유율 싸움이 HBM4→HBM4E 세대에서 정리되고, 공급이 안정화되면서 HBM 가격 프리미엄이 축소될 가능성도 있다. 이건 메모리 기업의 마진에 부정적이지만, GPU 출하 병목 완화에는 긍정적이다.</w:t>
      </w:r>
    </w:p>
    <w:p w:rsidR="00A866DC" w:rsidRPr="00F3770B" w:rsidRDefault="00A866DC" w:rsidP="00F3770B">
      <w:pPr>
        <w:pStyle w:val="font-claude-response-body"/>
        <w:rPr>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장기 (2028~2030) — 체질이 결정하는 시기</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2028년 파인만 아키텍처에 실리콘 포토닉스가 칩 내부까지 적용되면, 광통신이 AI 반도체의 필수 구성 요소로 완전히 편입된다. 구리 배선의 물리적 한계를 빛으로 대체하는 것인데, 이 기술 전환이 가져오는 밸류체인 변화가 상당하다. 광통신 기업(옵티코어, 파이버프로, 코히런트, 루멘텀)의 성장이 본격화되는 시기다.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엣지 AI(스마트폰, PC, 자동차에서 AI를 직접 돌리는 것) 시장도 이 시기에 의미 있는 규모로 성장한다. 데이터센터 AI만이 아니라 디바이스 AI까지 반도체 수요가 확장되면서, 퀄컴(모바일 AP), 삼성전기(MLCC) 같은 기업에 추가 성장 기회가 열린다.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커스텀 ASIC 시장이 1,000억 달러 규모에 도달할 것으로 딜로이트는 전망하고 있다. 엔비디아 GPU 독점이 완화되면서 "GPU + ASIC 공존" 구조가 정착되고, 밸류체인의 다변화가 일어난다.</w:t>
      </w:r>
    </w:p>
    <w:p w:rsidR="00A866DC" w:rsidRPr="00F3770B" w:rsidRDefault="00F3770B" w:rsidP="00F3770B">
      <w:pPr>
        <w:pStyle w:val="font-claude-response-body"/>
        <w:rPr>
          <w:rFonts w:ascii="Pretendard Medium" w:eastAsia="Pretendard Medium" w:hAnsi="Pretendard Medium" w:hint="eastAsia"/>
        </w:rPr>
      </w:pPr>
      <w:r w:rsidRPr="00F3770B">
        <w:rPr>
          <w:rFonts w:ascii="Pretendard Medium" w:eastAsia="Pretendard Medium" w:hAnsi="Pretendard Medium"/>
        </w:rPr>
        <w:t>이 구간의 핵심 질문은 "기술 전환에서 누가 앞서가느냐"다. HBM→HBM5, GAA→1nm 이하, FC-BGA→글래스 기판, 구리 배선→실리콘 포토닉스. 기술 전환을 선점한 기업이 다음 사이클의 승자가 된다.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A866DC" w:rsidRDefault="00A866DC" w:rsidP="00F3770B">
      <w:pPr>
        <w:pStyle w:val="font-claude-response-body"/>
        <w:rPr>
          <w:rStyle w:val="a3"/>
          <w:rFonts w:ascii="Pretendard Medium" w:eastAsia="Pretendard Medium" w:hAnsi="Pretendard Medium"/>
        </w:rPr>
      </w:pP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(4) 엔비디아 로드맵 × 수혜 기업 매핑</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엔비디아의 제품 로드맵이 곧 반도체 밸류체인 전체의 수요 로드맵이다. 세대별로 "어떤 병목 기술이 필요하고, 누가 그것을 해결하느냐"를 정리하면 투자 방향이 보인다.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블랙웰(2024~2026년 주력)은 HBM3E + TSMC 4nm + CoWoS. 수혜 기업은 SK하이닉스(HBM3E), TSMC(파운드리), 한미반도체(TC본더), 이수페타시스(MLB), 아리스타(이더넷 스위치)다.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루빈(2026년 하반기~2028년 주력)은 HBM4 + TSMC 3nm + CoWoS 확장 + NVLink 6 + CPO 도입. 수혜 기업이 확장된다. SK하이닉스·삼성전자(HBM4), TSMC(3nm), 한미반도체(TC본더, HBM4 16단), 테크윙(큐브 프로버, HBM4 테스트), 삼성전기(MLCC + FC-BGA), 옵티코어(광트랜시버). Groq 3 LPU가 삼성 4nm로 제조되므로 삼성전자 파운드리도 수혜.</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파인만(2028년~)은 HBM5(또는 차세대) + TSMC 1.6nm + 실리콘 포토닉스 칩 내부 적용 + 글래스 기판 가능성. 주성엔지니어링(ALD, 1nm 이하 공정 필수), 삼성전기(글래스 기판), 파이버프로(광섬유 소재), 코히런트·루멘텀(실리콘 포토닉스)이 새로운 수혜주로 부상한다.</w:t>
      </w:r>
    </w:p>
    <w:p w:rsid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핵심은 이것이다. 엔비디아 로드맵이 1년 주기로 진화하면서, 밸류체인의 "병목 포인트"가 계속 이동한다. 2024년에는 HBM이 병목이었고, 2026년에는 CoWoS와 광통신이 병목이며, 2028년에는 실리콘 포토닉스와 전력·냉각이 병목이 된다. 병목이 이동할 때마다 그 병목을 해결하는 기업이 바뀌고, 투자 기회도 이동한다. "지금 어디가 병목이고, 다음에 어디로 이동하느냐"를 파악하는 것이 AI 반도체 투자의 핵심이다.</w:t>
      </w:r>
    </w:p>
    <w:p w:rsidR="00A866DC" w:rsidRDefault="00A866DC" w:rsidP="00F3770B">
      <w:pPr>
        <w:pStyle w:val="font-claude-response-body"/>
        <w:rPr>
          <w:rFonts w:ascii="Pretendard Medium" w:eastAsia="Pretendard Medium" w:hAnsi="Pretendard Medium"/>
        </w:rPr>
      </w:pPr>
    </w:p>
    <w:p w:rsidR="00A866DC" w:rsidRDefault="00A866DC" w:rsidP="00F3770B">
      <w:pPr>
        <w:pStyle w:val="font-claude-response-body"/>
        <w:rPr>
          <w:rFonts w:ascii="Pretendard Medium" w:eastAsia="Pretendard Medium" w:hAnsi="Pretendard Medium"/>
        </w:rPr>
      </w:pPr>
    </w:p>
    <w:p w:rsidR="00A866DC" w:rsidRDefault="00A866DC" w:rsidP="00F3770B">
      <w:pPr>
        <w:pStyle w:val="font-claude-response-body"/>
        <w:rPr>
          <w:rFonts w:ascii="Pretendard Medium" w:eastAsia="Pretendard Medium" w:hAnsi="Pretendard Medium"/>
        </w:rPr>
      </w:pPr>
    </w:p>
    <w:p w:rsidR="00A866DC" w:rsidRDefault="00A866DC" w:rsidP="00F3770B">
      <w:pPr>
        <w:pStyle w:val="font-claude-response-body"/>
        <w:rPr>
          <w:rFonts w:ascii="Pretendard Medium" w:eastAsia="Pretendard Medium" w:hAnsi="Pretendard Medium"/>
        </w:rPr>
      </w:pPr>
    </w:p>
    <w:p w:rsidR="00A866DC" w:rsidRDefault="00A866DC" w:rsidP="00F3770B">
      <w:pPr>
        <w:pStyle w:val="font-claude-response-body"/>
        <w:rPr>
          <w:rFonts w:ascii="Pretendard Medium" w:eastAsia="Pretendard Medium" w:hAnsi="Pretendard Medium"/>
        </w:rPr>
      </w:pPr>
    </w:p>
    <w:p w:rsidR="00A866DC" w:rsidRDefault="00A866DC" w:rsidP="00F3770B">
      <w:pPr>
        <w:pStyle w:val="font-claude-response-body"/>
        <w:rPr>
          <w:rFonts w:ascii="Pretendard Medium" w:eastAsia="Pretendard Medium" w:hAnsi="Pretendard Medium"/>
        </w:rPr>
      </w:pPr>
    </w:p>
    <w:p w:rsidR="00A866DC" w:rsidRDefault="00A866DC" w:rsidP="00F3770B">
      <w:pPr>
        <w:pStyle w:val="font-claude-response-body"/>
        <w:rPr>
          <w:rFonts w:ascii="Pretendard Medium" w:eastAsia="Pretendard Medium" w:hAnsi="Pretendard Medium"/>
        </w:rPr>
      </w:pPr>
    </w:p>
    <w:p w:rsidR="00A866DC" w:rsidRPr="00F3770B" w:rsidRDefault="00A866DC" w:rsidP="00F3770B">
      <w:pPr>
        <w:pStyle w:val="font-claude-response-body"/>
        <w:rPr>
          <w:rFonts w:ascii="Pretendard Medium" w:eastAsia="Pretendard Medium" w:hAnsi="Pretendard Medium"/>
        </w:rPr>
      </w:pPr>
    </w:p>
    <w:p w:rsidR="00F3770B" w:rsidRPr="00A866DC" w:rsidRDefault="00F3770B" w:rsidP="00F3770B">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8. 밸류체인 투자 관점 정리</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이 보고서 전체를 관통하는 핵심은 하나다. AI 반도체는 단일 기업이 아니라 밸류체인 전체가 동시에 움직이는 산업이라는 것이다. 엔비디아 GPU가 팔리려면 SK하이닉스 HBM이 필요하고, HBM을 만들려면 한미반도체 TC본더가 필요하고, TC본더를 돌리려면 이오테크닉스 레이저로 웨이퍼를 잘라야 하고, 완성된 칩은 이수페타시스 MLB 위에 올라가야 하고, 서버끼리 데이터를 주고받으려면 옵티코어 광트랜시버가 필요하다. 어느 한 곳이 막히면 전체가 멈춘다. 이 연결 구조를 이해하면 "하나만 보는 게 아니라 여러 구간을 다각적으로 보는" 투자가 가능해진다.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밸류체인을 처음부터 끝까지 훑으면서, 각 단계별로 수익성은 어떻고, 지금 어디가 싸고, 어디에 성장 기울기가 가파른지를 정리한다.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(1) 설계 (GPU / 커스텀 ASIC) — 수익성 압도적, 밸류에이션도 높다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밸류체인의 최상단이다. 엔비디아의 데이터센터 부문 영업이익률이 60%를 넘고, 브로드컴의 Adjusted EBITDA 마진이 67%다. 공장 없이 설계만 하니까 설비투자 부담이 적고, 핵심 가치가 지적재산(IP)과 소프트웨어 생태계(CUDA)에 집중돼 있다. 수익성이 밸류체인에서 가장 높다.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그러나 밸류에이션도 가장 높다. 엔비디아 Forward P/E 25~35배, 브로드컴도 비슷한 수준이다. "완벽한 실행"을 전제로 한 가격이므로, 실적이 기대에 못 미치면 주가가 크게 흔들린다. 엔비디아가 FY26 Q4 실적에서 매출·이익 모두 시장 기대를 상회했음에도 주가가 5.5% 하락한 것이 이를 보여준다.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"AI 반도체의 대장주에 투자하되, 밸류에이션 부담을 감수해야 하는 구간"이다. 엔비디아의 CUDA 해자와 1년 주기 로드맵 실행력이 유지되는 한 장기적 방향은 위를 향하지만, 단기 조정 폭이 클 수 있으므로 진입 시점이 중요하다.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커스텀 ASIC이라는 대안 축도 주목해야 한다. 트렌드포스 기준 2026년 커스텀 ASIC 출하량 성장률(44.6%)이 GPU(16.1%)를 크게 앞선다. 브로드컴과 마벨이 이 시장을 양분하고 있고, 한국에서는 코리아써키트가 브로드컴 장기계약을 통해 간접 수혜를 받는다. GPU 독점이 영원하지 않을 수 있다는 리스크인 동시에, 커스텀 ASIC 밸류체인에는 구조적 성장 기회다.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(2) 메모리 (HBM / DRAM) — HBM4 전환으로 수익성 한 단계 상승</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SK하이닉스의 2025년 영업이익률이 49%다. 제조업에서 이 마진은 전례가 없는 수준이다. HBM이 일반 DRAM 대비 5~10배 비싼 가격에 팔리고, 수요 대비 공급이 부족한 상태가 지속되고 있기 때문이다. HBM4는 전작 대비 단가가 20~30% 더 비싸므로, 같은 양을 팔아도 매출과 마진이 올라간다.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SK하이닉스 vs 삼성전자 vs 마이크론. 이 삼파전이 메모리 투자의 핵심이다. SK하이닉스는 점유율 50%의 확고한 1위지만, 이미 밸류에이션에 프리미엄이 반영돼 있다. 삼성전자는 HBM 점유율 28%로 열위지만, HBM4 양산 출하 개시 + 파운드리 턴어라운드라는 두 가지 촉매가 동시에 올 수 있는 기업이다. "나쁜 뉴스가 다 나왔다"는 인식이 형성되면 재평가 폭이 SK하이닉스보다 클 수 있다. 마이크론은 "미국 유일 메모리 IDM"이라는 지정학적 프리미엄이 있지만, HBM4 양산 시점이 늦어지면서 기술 열위가 주가에 반영돼 있다.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"가장 확실한 AI 수혜를 받으면서, 밸류에이션 분산이 가능한 구간"이다. HBM이 엔비디아 GPU의 필수 부품인 한, 메모리 기업의 수혜는 구조적이다. SK하이닉스에 집중하되, 삼성전자의 턴어라운드 시그널을 체크하면서 분산하는 전략이 유효하다.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(3) 파운드리 — TSMC 독점인데, "2위 수혜" 관점이 열린다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TSMC의 첨단 AI 칩 제조 점유율이 90% 이상이고, 영업이익률이 50%를 넘는다. 2026년 첨단 공정 가격을 5~20% 인상할 예정인데, 고객 입장에서 대안이 없으므로 받아들일 수밖에 없다. TSMC는 밸류체인에서 "가장 독점에 가까운 기업"이다.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그러나 TSMC 주가에는 이미 이 독점이 반영돼 있고, 대만 해협 지정학 리스크라는 할인도 항상 따라다닌다. 여기서 관점을 바꿔보면, "TSMC가 포화 상태에서 가격을 올리고 있다"는 것은 "2위 파운드리에 기회가 열린다"는 뜻이기도 하다.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삼성전자 파운드리가 그 2위다. 2nm 양산을 시작했고, 퀄컴·테슬라와 협의 중이며, GTC 2026에서 엔비디아 Groq 3 LPU가 삼성 4nm으로 제조된다고 발표됐다. TSMC 수율 80%+ 대비 삼성 60%대라는 격차가 좁혀지지 않으면 대형 고객을 잡기 어렵지만, TSMC가 가격을 계속 올리는 상황에서 "가격 대비 합리적인 대안"으로 삼성 파운드리가 부각될 여지는 있다.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lastRenderedPageBreak/>
        <w:t>투자 관점에서 이 구간은 "TSMC에 직접 투자하기보다, TSMC와 삼성 파운드리 양쪽에 장비를 공급하는 한국 소부장에 투자하는 것이 더 효율적"일 수 있다. 어떤 파운드리가 이기든 주성엔지니어링의 ALD, 원익IPS의 CVD, 이오테크닉스의 레이저 장비는 양쪽 모두에 들어간다.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(4) 장비 — 글로벌은 비싸고, 한국 소부장에 기회가 있다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ASML이 EUV 장비를 세계에서 유일하게 만들고, Applied Materials와 Lam Research가 식각·증착을 과점한다. 이 기업들의 영업이익률은 25~35%대로 안정적이고, 기술 독점이 해자다. 그러나 밸류에이션도 이미 높다. ASML P/E 30배 이상이다.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한국 소부장은 글로벌 장비사 대비 밸류에이션 할인이 존재하면서, 기술 전환(GAA, HBM4, 2nm) 수혜는 동일하게 받는 구조다. 한미반도체는 TC본더 세계 점유율 71.2%로 글로벌 기업에 준하는 독점력을 갖고 있으면서, 밸류에이션은 글로벌 장비사 대비 낮다. 주성엔지니어링은 ASM International과 글로벌 ALD 시장을 양분하면서, 해외 고객(마이크론, CXMT, 대만)까지 확보하고 있다.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"글로벌 대비 한국 디스카운트가 존재하는 영역에서, 기술 전환 수혜를 받는 기업을 찾는 것"이다. 한미반도체(TC본더 독점), 주성엔지니어링(ALD, GAA 필수), 이오테크닉스(레이저, 디스코 대체), 테크윙(큐브 프로버, HBM 전용 테스트)이 이 관점에 부합하는 기업들이다.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(5) 기판·패키징 — 시총 작은데 수요 구조적, 성장 기울기 가파르다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AI 칩이 커지면 기판도 커져야 하고, 층수도 늘어나야 한다. 기존 서버용 CPU 기판이 8~12층이었다면, AI GPU용 FC-BGA 기판은 20~30층 이상이다. 이수페타시스의 다중적층 MLB는 24층 이상에 단가가 천만 원을 호가한다. 층수가 늘어날수록 제조 난이도와 단가가 동시에 올라가므로, 같은 양을 팔아도 매출과 마진이 급증하는 구조다.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이 구간의 매력은 "시총이 작은데 성장 기울기가 가파르다"는 점이다. 이수페타시스, 대덕전자, 코리아써키트, 삼성전기의 FC-BGA/MLB 사업은 전부 2026~2027년에 이익이 수십~수백 % 성장하는 구간에 진입한다. 대덕전자는 턴어라운드 초기라 이익 성장률이 수백 %에 달하며, 코리아써키트는 브로드컴 장기계약이라는 수주 가시성을 갖고 있다.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lastRenderedPageBreak/>
        <w:t>다만 밸류에이션이 이미 상당히 올라와 있다는 점을 감안해야 한다. 이수페타시스 PER 99배, 대덕전자와 코리아써키트도 실적 대비 주가가 2~3배 올라있는 상태다. "성장이 밸류에이션을 따라잡을 수 있느냐"가 이 구간 투자의 핵심 질문이다.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"빅테크 직납 여부와 고부가 제품 비중 확대 속도"를 기준으로 선별하는 것이다. 이수페타시스(엔비디아·구글 직납, 다중적층 MLB 비중 9%→31%), 삼성전기(FC-BGA 완판, 빅테크 신규 4곳 확보), 대덕전자(FC-BGA 턴어라운드, AI 서버용 진출), 코리아써키트(브로드컴 6년 계약)가 각각 다른 고객·제품으로 같은 밸류체인에서 성장하고 있다. 네 기업을 분산 투자하면 "기판 밸류체인 전체에 베팅하되 개별 기업 리스크를 분산하는" 포트폴리오가 된다.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(6) 광통신·네트워킹 — 가장 새로 열리는 시장, 리스크 높고 기울기도 높다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GPU, HBM, 파운드리는 이미 수년간 AI 수혜를 받아왔다. 광통신은 이제 막 본격 성장이 시작되는 단계다. 엔비디아 FY2026 네트워킹 매출이 314억 달러로 전년 대비 +142% 성장한 것이 방향성을 증명한다. 엔비디아가 루멘텀과 코히런트에 5.8조 원을 투자한 것은 광통신을 AI 반도체의 필수 구성 요소로 내재화하겠다는 선언이다.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Vera Rubin의 Spectrum-6 SPX 스위치에 CPO(코패키지드 옵틱스)가 처음 적용됐고, 2028년 파인만 아키텍처부터는 칩 내부까지 실리콘 포토닉스가 도입된다. 이 기술 전환의 궤적이 엔비디아 로드맵에 의해 확정돼 있다는 점이 핵심이다. 수요의 방향은 확인됐고, 문제는 시점과 규모다.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한국에서는 옵티코어(800G 광트랜시버 국내 유일)와 파이버프로(광섬유 소재)가 이 시장에 위치한다. 두 기업 모두 매출 규모가 작고 실적이 본격화 전이라 변동성이 극히 크다. 글로벌 경쟁(중국 Innolight의 가격 공세)도 리스크다.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"방향성은 확인됐지만 실적은 아직인, 가장 초기 단계의 베팅"이다. 리스크가 가장 높지만, 실적이 터지기 시작하면 성장 기울기도 가장 가파른 구간이다. 포트폴리오의 핵심이 아니라 위성(소규모 비중)으로 편입하면서, 분기 실적에서 광통신 매출이 가시화되는지를 체크하는 전략이 적합하다.</w:t>
      </w:r>
    </w:p>
    <w:p w:rsidR="00F3770B" w:rsidRPr="00F3770B" w:rsidRDefault="00F3770B" w:rsidP="00F3770B">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F3770B" w:rsidRPr="00F3770B" w:rsidRDefault="00F3770B" w:rsidP="00F3770B">
      <w:pPr>
        <w:pStyle w:val="font-claude-response-body"/>
        <w:rPr>
          <w:rFonts w:ascii="Pretendard Medium" w:eastAsia="Pretendard Medium" w:hAnsi="Pretendard Medium"/>
        </w:rPr>
      </w:pPr>
      <w:r w:rsidRPr="00F3770B">
        <w:rPr>
          <w:rStyle w:val="a3"/>
          <w:rFonts w:ascii="Pretendard Medium" w:eastAsia="Pretendard Medium" w:hAnsi="Pretendard Medium"/>
        </w:rPr>
        <w:t>(7) 최종 정리 — 밸류체인 전체를 보는 투자</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lastRenderedPageBreak/>
        <w:t>AI 반도체 투자를 한 기업, 한 종목에 집중하는 것은 위험하다. 엔비디아가 아무리 대장주여도, 밸류에이션 조정이 오면 20~30% 빠질 수 있다. SK하이닉스가 아무리 실적이 좋아도, HBM 가격 피크아웃 인식이 형성되면 주가가 흔들린다. 개별 기업의 리스크를 밸류체인 분산으로 상쇄하는 것이 핵심이다.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밸류체인의 위에서 아래로 내려올수록 밸류에이션은 싸지고, 성장 기울기는 가파르고, 리스크도 커진다. 엔비디아(설계)가 가장 안정적이지만 밸류에이션이 높고, 옵티코어(광통신)가 가장 싸지만 실적이 불확실하다. 이 스펙트럼 위에서 자신의 리스크 허용도에 맞는 조합을 찾는 것이 AI 반도체 투자의 본질이다.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확실한 것 하나. 하이퍼스케일러들이 "공급이 부족하다(supply-constrained)"고 말하고 있고, 2026년 합산 CAPEX가 6,600억~6,900억 달러에 달하며, 엔비디아의 블랙웰-루빈 합산 주문 전망이 1조 달러다. 이 돈이 밸류체인 전체를 관통하면서 흘러내려간다. 설계에서 시작해서, 파운드리를 지나고, 메모리를 거치고, 패키징·장비·기판을 통과하고, 광통신에 도달한다. 각 단계마다 돈을 벌 수 있는 기업이 있다. 그 기업들을 밸류체인의 어느 위치에 있는지, 병목을 해결하는 자리인지, 대체제가 있는지를 기준으로 선별하면 된다.</w:t>
      </w:r>
    </w:p>
    <w:p w:rsidR="00F3770B" w:rsidRPr="00F3770B" w:rsidRDefault="00F3770B" w:rsidP="00F3770B">
      <w:pPr>
        <w:pStyle w:val="font-claude-response-body"/>
        <w:rPr>
          <w:rFonts w:ascii="Pretendard Medium" w:eastAsia="Pretendard Medium" w:hAnsi="Pretendard Medium"/>
        </w:rPr>
      </w:pPr>
      <w:r w:rsidRPr="00F3770B">
        <w:rPr>
          <w:rFonts w:ascii="Pretendard Medium" w:eastAsia="Pretendard Medium" w:hAnsi="Pretendard Medium"/>
        </w:rPr>
        <w:t>이 보고서가 그 선별의 지도 역할을 하길 바란다.</w:t>
      </w:r>
    </w:p>
    <w:p w:rsidR="00A866DC" w:rsidRPr="00F3770B" w:rsidRDefault="00A866DC" w:rsidP="00A866DC">
      <w:pPr>
        <w:pStyle w:val="font-claude-response-body"/>
        <w:rPr>
          <w:rFonts w:ascii="Pretendard Medium" w:eastAsia="Pretendard Medium" w:hAnsi="Pretendard Medium"/>
        </w:rPr>
      </w:pPr>
    </w:p>
    <w:p w:rsidR="00A866DC" w:rsidRPr="00F3770B" w:rsidRDefault="00A866DC" w:rsidP="00A866DC">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A866DC" w:rsidRPr="00A866DC" w:rsidRDefault="00A866DC">
      <w:pPr>
        <w:rPr>
          <w:rFonts w:ascii="Pretendard Medium" w:eastAsia="Pretendard Medium" w:hAnsi="Pretendard Medium" w:hint="eastAsia"/>
        </w:rPr>
      </w:pPr>
    </w:p>
    <w:p w:rsidR="00F3770B" w:rsidRPr="00F3770B" w:rsidRDefault="00F3770B">
      <w:pPr>
        <w:rPr>
          <w:rFonts w:ascii="Pretendard Medium" w:eastAsia="Pretendard Medium" w:hAnsi="Pretendard Medium"/>
        </w:rPr>
      </w:pPr>
      <w:r w:rsidRPr="00F3770B">
        <w:rPr>
          <w:rFonts w:ascii="Pretendard Medium" w:eastAsia="Pretendard Medium" w:hAnsi="Pretendard Medium"/>
        </w:rPr>
        <w:t xml:space="preserve">PART 1: 용어 사전 + 왜 지금 AI 반도체인가 </w:t>
      </w:r>
    </w:p>
    <w:p w:rsidR="00F3770B" w:rsidRPr="00F3770B" w:rsidRDefault="00F3770B">
      <w:pPr>
        <w:rPr>
          <w:rFonts w:ascii="Pretendard Medium" w:eastAsia="Pretendard Medium" w:hAnsi="Pretendard Medium"/>
        </w:rPr>
      </w:pPr>
      <w:r w:rsidRPr="00F3770B">
        <w:rPr>
          <w:rFonts w:ascii="Pretendard Medium" w:eastAsia="Pretendard Medium" w:hAnsi="Pretendard Medium"/>
        </w:rPr>
        <w:t xml:space="preserve">PART 2: 반도체 밸류체인 + 국가별 경쟁 구도 </w:t>
      </w:r>
    </w:p>
    <w:p w:rsidR="00F3770B" w:rsidRPr="00F3770B" w:rsidRDefault="00F3770B">
      <w:pPr>
        <w:rPr>
          <w:rFonts w:ascii="Pretendard Medium" w:eastAsia="Pretendard Medium" w:hAnsi="Pretendard Medium"/>
        </w:rPr>
      </w:pPr>
      <w:r w:rsidRPr="00F3770B">
        <w:rPr>
          <w:rFonts w:ascii="Pretendard Medium" w:eastAsia="Pretendard Medium" w:hAnsi="Pretendard Medium"/>
        </w:rPr>
        <w:t xml:space="preserve">PART 3-1: 글로벌 기업 — 엔비디아, AMD, 브로드컴, 마벨 </w:t>
      </w:r>
    </w:p>
    <w:p w:rsidR="00F3770B" w:rsidRPr="00F3770B" w:rsidRDefault="00F3770B">
      <w:pPr>
        <w:rPr>
          <w:rFonts w:ascii="Pretendard Medium" w:eastAsia="Pretendard Medium" w:hAnsi="Pretendard Medium"/>
        </w:rPr>
      </w:pPr>
      <w:r w:rsidRPr="00F3770B">
        <w:rPr>
          <w:rFonts w:ascii="Pretendard Medium" w:eastAsia="Pretendard Medium" w:hAnsi="Pretendard Medium"/>
        </w:rPr>
        <w:t xml:space="preserve">PART 3-2: 글로벌 기업 — 인텔, 퀄컴, 마이크론, 웨스턴디지털/샌디스크 </w:t>
      </w:r>
    </w:p>
    <w:p w:rsidR="00F3770B" w:rsidRPr="00F3770B" w:rsidRDefault="00F3770B">
      <w:pPr>
        <w:rPr>
          <w:rFonts w:ascii="Pretendard Medium" w:eastAsia="Pretendard Medium" w:hAnsi="Pretendard Medium"/>
        </w:rPr>
      </w:pPr>
      <w:r w:rsidRPr="00F3770B">
        <w:rPr>
          <w:rFonts w:ascii="Pretendard Medium" w:eastAsia="Pretendard Medium" w:hAnsi="Pretendard Medium"/>
        </w:rPr>
        <w:t xml:space="preserve">PART 4: 글로벌 기업 — TSMC, ASML, 장비3사, 네트워킹/광통신, 중국 </w:t>
      </w:r>
    </w:p>
    <w:p w:rsidR="00F3770B" w:rsidRPr="00F3770B" w:rsidRDefault="00F3770B">
      <w:pPr>
        <w:rPr>
          <w:rFonts w:ascii="Pretendard Medium" w:eastAsia="Pretendard Medium" w:hAnsi="Pretendard Medium"/>
        </w:rPr>
      </w:pPr>
      <w:r w:rsidRPr="00F3770B">
        <w:rPr>
          <w:rFonts w:ascii="Pretendard Medium" w:eastAsia="Pretendard Medium" w:hAnsi="Pretendard Medium"/>
        </w:rPr>
        <w:t xml:space="preserve">PART 5: 한국 코스피 — SK하이닉스, 삼성전자, 한미반도체, 이수페타시스, 삼성전기, 대덕전자, 코리아써키트 </w:t>
      </w:r>
    </w:p>
    <w:p w:rsidR="00F3770B" w:rsidRPr="00F3770B" w:rsidRDefault="00F3770B">
      <w:pPr>
        <w:rPr>
          <w:rFonts w:ascii="Pretendard Medium" w:eastAsia="Pretendard Medium" w:hAnsi="Pretendard Medium"/>
        </w:rPr>
      </w:pPr>
      <w:r w:rsidRPr="00F3770B">
        <w:rPr>
          <w:rFonts w:ascii="Pretendard Medium" w:eastAsia="Pretendard Medium" w:hAnsi="Pretendard Medium"/>
        </w:rPr>
        <w:t xml:space="preserve">PART 6: 한국 코스닥 — 이오테크닉스, 테크윙, ISC, 리노공업, 주성엔지니어링, 원익IPS, 옵티코어, 파이버프로 </w:t>
      </w:r>
    </w:p>
    <w:p w:rsidR="00F3770B" w:rsidRPr="00F3770B" w:rsidRDefault="00F3770B">
      <w:pPr>
        <w:rPr>
          <w:rFonts w:ascii="Pretendard Medium" w:eastAsia="Pretendard Medium" w:hAnsi="Pretendard Medium"/>
        </w:rPr>
      </w:pPr>
      <w:r w:rsidRPr="00F3770B">
        <w:rPr>
          <w:rFonts w:ascii="Pretendard Medium" w:eastAsia="Pretendard Medium" w:hAnsi="Pretendard Medium"/>
        </w:rPr>
        <w:t xml:space="preserve">PART 7: 최신 트렌드 + 위험 요인 + 투자 타임라인 </w:t>
      </w:r>
    </w:p>
    <w:p w:rsidR="00F3770B" w:rsidRDefault="00F3770B">
      <w:pPr>
        <w:rPr>
          <w:rFonts w:ascii="Pretendard Medium" w:eastAsia="Pretendard Medium" w:hAnsi="Pretendard Medium"/>
        </w:rPr>
      </w:pPr>
      <w:r w:rsidRPr="00F3770B">
        <w:rPr>
          <w:rFonts w:ascii="Pretendard Medium" w:eastAsia="Pretendard Medium" w:hAnsi="Pretendard Medium"/>
        </w:rPr>
        <w:t xml:space="preserve">PART 8: 밸류체인 투자 관점 정리 </w:t>
      </w:r>
    </w:p>
    <w:p w:rsidR="00D0281E" w:rsidRDefault="00D0281E">
      <w:pPr>
        <w:rPr>
          <w:rFonts w:ascii="Pretendard Medium" w:eastAsia="Pretendard Medium" w:hAnsi="Pretendard Medium"/>
        </w:rPr>
      </w:pPr>
    </w:p>
    <w:p w:rsidR="00D0281E" w:rsidRPr="00427EB7" w:rsidRDefault="00D0281E" w:rsidP="00D0281E">
      <w:pPr>
        <w:rPr>
          <w:rFonts w:ascii="Pretendard Medium" w:eastAsia="Pretendard Medium" w:hAnsi="Pretendard Medium"/>
        </w:rPr>
      </w:pPr>
      <w:r>
        <w:rPr>
          <w:rFonts w:ascii="Pretendard Medium" w:eastAsia="Pretendard Medium" w:hAnsi="Pretendard Medium"/>
        </w:rPr>
        <w:lastRenderedPageBreak/>
        <w:pict>
          <v:rect id="_x0000_i1025" style="width:0;height:1.5pt" o:hralign="center" o:hrstd="t" o:hr="t" fillcolor="#a0a0a0" stroked="f"/>
        </w:pict>
      </w:r>
    </w:p>
    <w:p w:rsidR="00D0281E" w:rsidRPr="00427EB7" w:rsidRDefault="00D0281E" w:rsidP="00D0281E">
      <w:pPr>
        <w:pStyle w:val="font-claude-response-body"/>
        <w:rPr>
          <w:rFonts w:ascii="Pretendard Medium" w:eastAsia="Pretendard Medium" w:hAnsi="Pretendard Medium"/>
        </w:rPr>
      </w:pPr>
      <w:r w:rsidRPr="00427EB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D0281E" w:rsidRPr="00D0281E" w:rsidRDefault="00D0281E">
      <w:pPr>
        <w:rPr>
          <w:rFonts w:ascii="Pretendard Medium" w:eastAsia="Pretendard Medium" w:hAnsi="Pretendard Medium" w:hint="eastAsia"/>
        </w:rPr>
      </w:pPr>
      <w:bookmarkStart w:id="0" w:name="_GoBack"/>
      <w:bookmarkEnd w:id="0"/>
    </w:p>
    <w:sectPr w:rsidR="00D0281E" w:rsidRPr="00D0281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Pretendard ExtraBold">
    <w:panose1 w:val="02000903000000020004"/>
    <w:charset w:val="81"/>
    <w:family w:val="modern"/>
    <w:notTrueType/>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E97"/>
    <w:rsid w:val="00261FA2"/>
    <w:rsid w:val="00503667"/>
    <w:rsid w:val="00613E97"/>
    <w:rsid w:val="008210DB"/>
    <w:rsid w:val="00A866DC"/>
    <w:rsid w:val="00D0281E"/>
    <w:rsid w:val="00F3770B"/>
    <w:rsid w:val="00F842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623A"/>
  <w15:chartTrackingRefBased/>
  <w15:docId w15:val="{30CA6A76-4A58-41A2-B1AA-275B227B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nt-claude-response-body">
    <w:name w:val="font-claude-response-body"/>
    <w:basedOn w:val="a"/>
    <w:rsid w:val="00613E9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613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73364">
      <w:bodyDiv w:val="1"/>
      <w:marLeft w:val="0"/>
      <w:marRight w:val="0"/>
      <w:marTop w:val="0"/>
      <w:marBottom w:val="0"/>
      <w:divBdr>
        <w:top w:val="none" w:sz="0" w:space="0" w:color="auto"/>
        <w:left w:val="none" w:sz="0" w:space="0" w:color="auto"/>
        <w:bottom w:val="none" w:sz="0" w:space="0" w:color="auto"/>
        <w:right w:val="none" w:sz="0" w:space="0" w:color="auto"/>
      </w:divBdr>
    </w:div>
    <w:div w:id="223879556">
      <w:bodyDiv w:val="1"/>
      <w:marLeft w:val="0"/>
      <w:marRight w:val="0"/>
      <w:marTop w:val="0"/>
      <w:marBottom w:val="0"/>
      <w:divBdr>
        <w:top w:val="none" w:sz="0" w:space="0" w:color="auto"/>
        <w:left w:val="none" w:sz="0" w:space="0" w:color="auto"/>
        <w:bottom w:val="none" w:sz="0" w:space="0" w:color="auto"/>
        <w:right w:val="none" w:sz="0" w:space="0" w:color="auto"/>
      </w:divBdr>
    </w:div>
    <w:div w:id="455876527">
      <w:bodyDiv w:val="1"/>
      <w:marLeft w:val="0"/>
      <w:marRight w:val="0"/>
      <w:marTop w:val="0"/>
      <w:marBottom w:val="0"/>
      <w:divBdr>
        <w:top w:val="none" w:sz="0" w:space="0" w:color="auto"/>
        <w:left w:val="none" w:sz="0" w:space="0" w:color="auto"/>
        <w:bottom w:val="none" w:sz="0" w:space="0" w:color="auto"/>
        <w:right w:val="none" w:sz="0" w:space="0" w:color="auto"/>
      </w:divBdr>
    </w:div>
    <w:div w:id="457603824">
      <w:bodyDiv w:val="1"/>
      <w:marLeft w:val="0"/>
      <w:marRight w:val="0"/>
      <w:marTop w:val="0"/>
      <w:marBottom w:val="0"/>
      <w:divBdr>
        <w:top w:val="none" w:sz="0" w:space="0" w:color="auto"/>
        <w:left w:val="none" w:sz="0" w:space="0" w:color="auto"/>
        <w:bottom w:val="none" w:sz="0" w:space="0" w:color="auto"/>
        <w:right w:val="none" w:sz="0" w:space="0" w:color="auto"/>
      </w:divBdr>
    </w:div>
    <w:div w:id="820082430">
      <w:bodyDiv w:val="1"/>
      <w:marLeft w:val="0"/>
      <w:marRight w:val="0"/>
      <w:marTop w:val="0"/>
      <w:marBottom w:val="0"/>
      <w:divBdr>
        <w:top w:val="none" w:sz="0" w:space="0" w:color="auto"/>
        <w:left w:val="none" w:sz="0" w:space="0" w:color="auto"/>
        <w:bottom w:val="none" w:sz="0" w:space="0" w:color="auto"/>
        <w:right w:val="none" w:sz="0" w:space="0" w:color="auto"/>
      </w:divBdr>
    </w:div>
    <w:div w:id="1116368764">
      <w:bodyDiv w:val="1"/>
      <w:marLeft w:val="0"/>
      <w:marRight w:val="0"/>
      <w:marTop w:val="0"/>
      <w:marBottom w:val="0"/>
      <w:divBdr>
        <w:top w:val="none" w:sz="0" w:space="0" w:color="auto"/>
        <w:left w:val="none" w:sz="0" w:space="0" w:color="auto"/>
        <w:bottom w:val="none" w:sz="0" w:space="0" w:color="auto"/>
        <w:right w:val="none" w:sz="0" w:space="0" w:color="auto"/>
      </w:divBdr>
    </w:div>
    <w:div w:id="1485659284">
      <w:bodyDiv w:val="1"/>
      <w:marLeft w:val="0"/>
      <w:marRight w:val="0"/>
      <w:marTop w:val="0"/>
      <w:marBottom w:val="0"/>
      <w:divBdr>
        <w:top w:val="none" w:sz="0" w:space="0" w:color="auto"/>
        <w:left w:val="none" w:sz="0" w:space="0" w:color="auto"/>
        <w:bottom w:val="none" w:sz="0" w:space="0" w:color="auto"/>
        <w:right w:val="none" w:sz="0" w:space="0" w:color="auto"/>
      </w:divBdr>
    </w:div>
    <w:div w:id="1597598249">
      <w:bodyDiv w:val="1"/>
      <w:marLeft w:val="0"/>
      <w:marRight w:val="0"/>
      <w:marTop w:val="0"/>
      <w:marBottom w:val="0"/>
      <w:divBdr>
        <w:top w:val="none" w:sz="0" w:space="0" w:color="auto"/>
        <w:left w:val="none" w:sz="0" w:space="0" w:color="auto"/>
        <w:bottom w:val="none" w:sz="0" w:space="0" w:color="auto"/>
        <w:right w:val="none" w:sz="0" w:space="0" w:color="auto"/>
      </w:divBdr>
      <w:divsChild>
        <w:div w:id="147867937">
          <w:marLeft w:val="0"/>
          <w:marRight w:val="0"/>
          <w:marTop w:val="0"/>
          <w:marBottom w:val="0"/>
          <w:divBdr>
            <w:top w:val="none" w:sz="0" w:space="0" w:color="auto"/>
            <w:left w:val="none" w:sz="0" w:space="0" w:color="auto"/>
            <w:bottom w:val="none" w:sz="0" w:space="0" w:color="auto"/>
            <w:right w:val="none" w:sz="0" w:space="0" w:color="auto"/>
          </w:divBdr>
          <w:divsChild>
            <w:div w:id="648290887">
              <w:marLeft w:val="0"/>
              <w:marRight w:val="0"/>
              <w:marTop w:val="0"/>
              <w:marBottom w:val="0"/>
              <w:divBdr>
                <w:top w:val="none" w:sz="0" w:space="0" w:color="auto"/>
                <w:left w:val="none" w:sz="0" w:space="0" w:color="auto"/>
                <w:bottom w:val="none" w:sz="0" w:space="0" w:color="auto"/>
                <w:right w:val="none" w:sz="0" w:space="0" w:color="auto"/>
              </w:divBdr>
            </w:div>
          </w:divsChild>
        </w:div>
        <w:div w:id="1781608948">
          <w:marLeft w:val="0"/>
          <w:marRight w:val="0"/>
          <w:marTop w:val="0"/>
          <w:marBottom w:val="0"/>
          <w:divBdr>
            <w:top w:val="none" w:sz="0" w:space="0" w:color="auto"/>
            <w:left w:val="none" w:sz="0" w:space="0" w:color="auto"/>
            <w:bottom w:val="none" w:sz="0" w:space="0" w:color="auto"/>
            <w:right w:val="none" w:sz="0" w:space="0" w:color="auto"/>
          </w:divBdr>
          <w:divsChild>
            <w:div w:id="321740129">
              <w:marLeft w:val="0"/>
              <w:marRight w:val="0"/>
              <w:marTop w:val="0"/>
              <w:marBottom w:val="0"/>
              <w:divBdr>
                <w:top w:val="none" w:sz="0" w:space="0" w:color="auto"/>
                <w:left w:val="none" w:sz="0" w:space="0" w:color="auto"/>
                <w:bottom w:val="none" w:sz="0" w:space="0" w:color="auto"/>
                <w:right w:val="none" w:sz="0" w:space="0" w:color="auto"/>
              </w:divBdr>
            </w:div>
          </w:divsChild>
        </w:div>
        <w:div w:id="1264462023">
          <w:marLeft w:val="0"/>
          <w:marRight w:val="0"/>
          <w:marTop w:val="0"/>
          <w:marBottom w:val="0"/>
          <w:divBdr>
            <w:top w:val="none" w:sz="0" w:space="0" w:color="auto"/>
            <w:left w:val="none" w:sz="0" w:space="0" w:color="auto"/>
            <w:bottom w:val="none" w:sz="0" w:space="0" w:color="auto"/>
            <w:right w:val="none" w:sz="0" w:space="0" w:color="auto"/>
          </w:divBdr>
          <w:divsChild>
            <w:div w:id="8073178">
              <w:marLeft w:val="0"/>
              <w:marRight w:val="0"/>
              <w:marTop w:val="0"/>
              <w:marBottom w:val="0"/>
              <w:divBdr>
                <w:top w:val="none" w:sz="0" w:space="0" w:color="auto"/>
                <w:left w:val="none" w:sz="0" w:space="0" w:color="auto"/>
                <w:bottom w:val="none" w:sz="0" w:space="0" w:color="auto"/>
                <w:right w:val="none" w:sz="0" w:space="0" w:color="auto"/>
              </w:divBdr>
            </w:div>
          </w:divsChild>
        </w:div>
        <w:div w:id="487136508">
          <w:marLeft w:val="0"/>
          <w:marRight w:val="0"/>
          <w:marTop w:val="0"/>
          <w:marBottom w:val="0"/>
          <w:divBdr>
            <w:top w:val="none" w:sz="0" w:space="0" w:color="auto"/>
            <w:left w:val="none" w:sz="0" w:space="0" w:color="auto"/>
            <w:bottom w:val="none" w:sz="0" w:space="0" w:color="auto"/>
            <w:right w:val="none" w:sz="0" w:space="0" w:color="auto"/>
          </w:divBdr>
          <w:divsChild>
            <w:div w:id="1774742943">
              <w:marLeft w:val="0"/>
              <w:marRight w:val="0"/>
              <w:marTop w:val="0"/>
              <w:marBottom w:val="0"/>
              <w:divBdr>
                <w:top w:val="none" w:sz="0" w:space="0" w:color="auto"/>
                <w:left w:val="none" w:sz="0" w:space="0" w:color="auto"/>
                <w:bottom w:val="none" w:sz="0" w:space="0" w:color="auto"/>
                <w:right w:val="none" w:sz="0" w:space="0" w:color="auto"/>
              </w:divBdr>
            </w:div>
          </w:divsChild>
        </w:div>
        <w:div w:id="1257902532">
          <w:marLeft w:val="0"/>
          <w:marRight w:val="0"/>
          <w:marTop w:val="0"/>
          <w:marBottom w:val="0"/>
          <w:divBdr>
            <w:top w:val="none" w:sz="0" w:space="0" w:color="auto"/>
            <w:left w:val="none" w:sz="0" w:space="0" w:color="auto"/>
            <w:bottom w:val="none" w:sz="0" w:space="0" w:color="auto"/>
            <w:right w:val="none" w:sz="0" w:space="0" w:color="auto"/>
          </w:divBdr>
          <w:divsChild>
            <w:div w:id="165753775">
              <w:marLeft w:val="0"/>
              <w:marRight w:val="0"/>
              <w:marTop w:val="0"/>
              <w:marBottom w:val="0"/>
              <w:divBdr>
                <w:top w:val="none" w:sz="0" w:space="0" w:color="auto"/>
                <w:left w:val="none" w:sz="0" w:space="0" w:color="auto"/>
                <w:bottom w:val="none" w:sz="0" w:space="0" w:color="auto"/>
                <w:right w:val="none" w:sz="0" w:space="0" w:color="auto"/>
              </w:divBdr>
            </w:div>
          </w:divsChild>
        </w:div>
        <w:div w:id="1026979970">
          <w:marLeft w:val="0"/>
          <w:marRight w:val="0"/>
          <w:marTop w:val="0"/>
          <w:marBottom w:val="0"/>
          <w:divBdr>
            <w:top w:val="none" w:sz="0" w:space="0" w:color="auto"/>
            <w:left w:val="none" w:sz="0" w:space="0" w:color="auto"/>
            <w:bottom w:val="none" w:sz="0" w:space="0" w:color="auto"/>
            <w:right w:val="none" w:sz="0" w:space="0" w:color="auto"/>
          </w:divBdr>
          <w:divsChild>
            <w:div w:id="552347245">
              <w:marLeft w:val="0"/>
              <w:marRight w:val="0"/>
              <w:marTop w:val="0"/>
              <w:marBottom w:val="0"/>
              <w:divBdr>
                <w:top w:val="none" w:sz="0" w:space="0" w:color="auto"/>
                <w:left w:val="none" w:sz="0" w:space="0" w:color="auto"/>
                <w:bottom w:val="none" w:sz="0" w:space="0" w:color="auto"/>
                <w:right w:val="none" w:sz="0" w:space="0" w:color="auto"/>
              </w:divBdr>
            </w:div>
          </w:divsChild>
        </w:div>
        <w:div w:id="346562416">
          <w:marLeft w:val="0"/>
          <w:marRight w:val="0"/>
          <w:marTop w:val="0"/>
          <w:marBottom w:val="0"/>
          <w:divBdr>
            <w:top w:val="none" w:sz="0" w:space="0" w:color="auto"/>
            <w:left w:val="none" w:sz="0" w:space="0" w:color="auto"/>
            <w:bottom w:val="none" w:sz="0" w:space="0" w:color="auto"/>
            <w:right w:val="none" w:sz="0" w:space="0" w:color="auto"/>
          </w:divBdr>
          <w:divsChild>
            <w:div w:id="1005862927">
              <w:marLeft w:val="0"/>
              <w:marRight w:val="0"/>
              <w:marTop w:val="0"/>
              <w:marBottom w:val="0"/>
              <w:divBdr>
                <w:top w:val="none" w:sz="0" w:space="0" w:color="auto"/>
                <w:left w:val="none" w:sz="0" w:space="0" w:color="auto"/>
                <w:bottom w:val="none" w:sz="0" w:space="0" w:color="auto"/>
                <w:right w:val="none" w:sz="0" w:space="0" w:color="auto"/>
              </w:divBdr>
            </w:div>
          </w:divsChild>
        </w:div>
        <w:div w:id="277571432">
          <w:marLeft w:val="0"/>
          <w:marRight w:val="0"/>
          <w:marTop w:val="0"/>
          <w:marBottom w:val="0"/>
          <w:divBdr>
            <w:top w:val="none" w:sz="0" w:space="0" w:color="auto"/>
            <w:left w:val="none" w:sz="0" w:space="0" w:color="auto"/>
            <w:bottom w:val="none" w:sz="0" w:space="0" w:color="auto"/>
            <w:right w:val="none" w:sz="0" w:space="0" w:color="auto"/>
          </w:divBdr>
          <w:divsChild>
            <w:div w:id="621614852">
              <w:marLeft w:val="0"/>
              <w:marRight w:val="0"/>
              <w:marTop w:val="0"/>
              <w:marBottom w:val="0"/>
              <w:divBdr>
                <w:top w:val="none" w:sz="0" w:space="0" w:color="auto"/>
                <w:left w:val="none" w:sz="0" w:space="0" w:color="auto"/>
                <w:bottom w:val="none" w:sz="0" w:space="0" w:color="auto"/>
                <w:right w:val="none" w:sz="0" w:space="0" w:color="auto"/>
              </w:divBdr>
            </w:div>
          </w:divsChild>
        </w:div>
        <w:div w:id="1532954203">
          <w:marLeft w:val="0"/>
          <w:marRight w:val="0"/>
          <w:marTop w:val="0"/>
          <w:marBottom w:val="0"/>
          <w:divBdr>
            <w:top w:val="none" w:sz="0" w:space="0" w:color="auto"/>
            <w:left w:val="none" w:sz="0" w:space="0" w:color="auto"/>
            <w:bottom w:val="none" w:sz="0" w:space="0" w:color="auto"/>
            <w:right w:val="none" w:sz="0" w:space="0" w:color="auto"/>
          </w:divBdr>
          <w:divsChild>
            <w:div w:id="679161351">
              <w:marLeft w:val="0"/>
              <w:marRight w:val="0"/>
              <w:marTop w:val="0"/>
              <w:marBottom w:val="0"/>
              <w:divBdr>
                <w:top w:val="none" w:sz="0" w:space="0" w:color="auto"/>
                <w:left w:val="none" w:sz="0" w:space="0" w:color="auto"/>
                <w:bottom w:val="none" w:sz="0" w:space="0" w:color="auto"/>
                <w:right w:val="none" w:sz="0" w:space="0" w:color="auto"/>
              </w:divBdr>
            </w:div>
          </w:divsChild>
        </w:div>
        <w:div w:id="872621853">
          <w:marLeft w:val="0"/>
          <w:marRight w:val="0"/>
          <w:marTop w:val="0"/>
          <w:marBottom w:val="0"/>
          <w:divBdr>
            <w:top w:val="none" w:sz="0" w:space="0" w:color="auto"/>
            <w:left w:val="none" w:sz="0" w:space="0" w:color="auto"/>
            <w:bottom w:val="none" w:sz="0" w:space="0" w:color="auto"/>
            <w:right w:val="none" w:sz="0" w:space="0" w:color="auto"/>
          </w:divBdr>
          <w:divsChild>
            <w:div w:id="1426878390">
              <w:marLeft w:val="0"/>
              <w:marRight w:val="0"/>
              <w:marTop w:val="0"/>
              <w:marBottom w:val="0"/>
              <w:divBdr>
                <w:top w:val="none" w:sz="0" w:space="0" w:color="auto"/>
                <w:left w:val="none" w:sz="0" w:space="0" w:color="auto"/>
                <w:bottom w:val="none" w:sz="0" w:space="0" w:color="auto"/>
                <w:right w:val="none" w:sz="0" w:space="0" w:color="auto"/>
              </w:divBdr>
            </w:div>
          </w:divsChild>
        </w:div>
        <w:div w:id="668800456">
          <w:marLeft w:val="0"/>
          <w:marRight w:val="0"/>
          <w:marTop w:val="0"/>
          <w:marBottom w:val="0"/>
          <w:divBdr>
            <w:top w:val="none" w:sz="0" w:space="0" w:color="auto"/>
            <w:left w:val="none" w:sz="0" w:space="0" w:color="auto"/>
            <w:bottom w:val="none" w:sz="0" w:space="0" w:color="auto"/>
            <w:right w:val="none" w:sz="0" w:space="0" w:color="auto"/>
          </w:divBdr>
          <w:divsChild>
            <w:div w:id="445545919">
              <w:marLeft w:val="0"/>
              <w:marRight w:val="0"/>
              <w:marTop w:val="0"/>
              <w:marBottom w:val="0"/>
              <w:divBdr>
                <w:top w:val="none" w:sz="0" w:space="0" w:color="auto"/>
                <w:left w:val="none" w:sz="0" w:space="0" w:color="auto"/>
                <w:bottom w:val="none" w:sz="0" w:space="0" w:color="auto"/>
                <w:right w:val="none" w:sz="0" w:space="0" w:color="auto"/>
              </w:divBdr>
            </w:div>
          </w:divsChild>
        </w:div>
        <w:div w:id="932981827">
          <w:marLeft w:val="0"/>
          <w:marRight w:val="0"/>
          <w:marTop w:val="0"/>
          <w:marBottom w:val="0"/>
          <w:divBdr>
            <w:top w:val="none" w:sz="0" w:space="0" w:color="auto"/>
            <w:left w:val="none" w:sz="0" w:space="0" w:color="auto"/>
            <w:bottom w:val="none" w:sz="0" w:space="0" w:color="auto"/>
            <w:right w:val="none" w:sz="0" w:space="0" w:color="auto"/>
          </w:divBdr>
          <w:divsChild>
            <w:div w:id="698043429">
              <w:marLeft w:val="0"/>
              <w:marRight w:val="0"/>
              <w:marTop w:val="0"/>
              <w:marBottom w:val="0"/>
              <w:divBdr>
                <w:top w:val="none" w:sz="0" w:space="0" w:color="auto"/>
                <w:left w:val="none" w:sz="0" w:space="0" w:color="auto"/>
                <w:bottom w:val="none" w:sz="0" w:space="0" w:color="auto"/>
                <w:right w:val="none" w:sz="0" w:space="0" w:color="auto"/>
              </w:divBdr>
            </w:div>
          </w:divsChild>
        </w:div>
        <w:div w:id="397828841">
          <w:marLeft w:val="0"/>
          <w:marRight w:val="0"/>
          <w:marTop w:val="0"/>
          <w:marBottom w:val="0"/>
          <w:divBdr>
            <w:top w:val="none" w:sz="0" w:space="0" w:color="auto"/>
            <w:left w:val="none" w:sz="0" w:space="0" w:color="auto"/>
            <w:bottom w:val="none" w:sz="0" w:space="0" w:color="auto"/>
            <w:right w:val="none" w:sz="0" w:space="0" w:color="auto"/>
          </w:divBdr>
          <w:divsChild>
            <w:div w:id="690188180">
              <w:marLeft w:val="0"/>
              <w:marRight w:val="0"/>
              <w:marTop w:val="0"/>
              <w:marBottom w:val="0"/>
              <w:divBdr>
                <w:top w:val="none" w:sz="0" w:space="0" w:color="auto"/>
                <w:left w:val="none" w:sz="0" w:space="0" w:color="auto"/>
                <w:bottom w:val="none" w:sz="0" w:space="0" w:color="auto"/>
                <w:right w:val="none" w:sz="0" w:space="0" w:color="auto"/>
              </w:divBdr>
            </w:div>
          </w:divsChild>
        </w:div>
        <w:div w:id="1778401443">
          <w:marLeft w:val="0"/>
          <w:marRight w:val="0"/>
          <w:marTop w:val="0"/>
          <w:marBottom w:val="0"/>
          <w:divBdr>
            <w:top w:val="none" w:sz="0" w:space="0" w:color="auto"/>
            <w:left w:val="none" w:sz="0" w:space="0" w:color="auto"/>
            <w:bottom w:val="none" w:sz="0" w:space="0" w:color="auto"/>
            <w:right w:val="none" w:sz="0" w:space="0" w:color="auto"/>
          </w:divBdr>
          <w:divsChild>
            <w:div w:id="1024595956">
              <w:marLeft w:val="0"/>
              <w:marRight w:val="0"/>
              <w:marTop w:val="0"/>
              <w:marBottom w:val="0"/>
              <w:divBdr>
                <w:top w:val="none" w:sz="0" w:space="0" w:color="auto"/>
                <w:left w:val="none" w:sz="0" w:space="0" w:color="auto"/>
                <w:bottom w:val="none" w:sz="0" w:space="0" w:color="auto"/>
                <w:right w:val="none" w:sz="0" w:space="0" w:color="auto"/>
              </w:divBdr>
            </w:div>
          </w:divsChild>
        </w:div>
        <w:div w:id="1379548911">
          <w:marLeft w:val="0"/>
          <w:marRight w:val="0"/>
          <w:marTop w:val="0"/>
          <w:marBottom w:val="0"/>
          <w:divBdr>
            <w:top w:val="none" w:sz="0" w:space="0" w:color="auto"/>
            <w:left w:val="none" w:sz="0" w:space="0" w:color="auto"/>
            <w:bottom w:val="none" w:sz="0" w:space="0" w:color="auto"/>
            <w:right w:val="none" w:sz="0" w:space="0" w:color="auto"/>
          </w:divBdr>
          <w:divsChild>
            <w:div w:id="1098133833">
              <w:marLeft w:val="0"/>
              <w:marRight w:val="0"/>
              <w:marTop w:val="0"/>
              <w:marBottom w:val="0"/>
              <w:divBdr>
                <w:top w:val="none" w:sz="0" w:space="0" w:color="auto"/>
                <w:left w:val="none" w:sz="0" w:space="0" w:color="auto"/>
                <w:bottom w:val="none" w:sz="0" w:space="0" w:color="auto"/>
                <w:right w:val="none" w:sz="0" w:space="0" w:color="auto"/>
              </w:divBdr>
            </w:div>
          </w:divsChild>
        </w:div>
        <w:div w:id="1520073801">
          <w:marLeft w:val="0"/>
          <w:marRight w:val="0"/>
          <w:marTop w:val="0"/>
          <w:marBottom w:val="0"/>
          <w:divBdr>
            <w:top w:val="none" w:sz="0" w:space="0" w:color="auto"/>
            <w:left w:val="none" w:sz="0" w:space="0" w:color="auto"/>
            <w:bottom w:val="none" w:sz="0" w:space="0" w:color="auto"/>
            <w:right w:val="none" w:sz="0" w:space="0" w:color="auto"/>
          </w:divBdr>
          <w:divsChild>
            <w:div w:id="1696880378">
              <w:marLeft w:val="0"/>
              <w:marRight w:val="0"/>
              <w:marTop w:val="0"/>
              <w:marBottom w:val="0"/>
              <w:divBdr>
                <w:top w:val="none" w:sz="0" w:space="0" w:color="auto"/>
                <w:left w:val="none" w:sz="0" w:space="0" w:color="auto"/>
                <w:bottom w:val="none" w:sz="0" w:space="0" w:color="auto"/>
                <w:right w:val="none" w:sz="0" w:space="0" w:color="auto"/>
              </w:divBdr>
            </w:div>
          </w:divsChild>
        </w:div>
        <w:div w:id="1359891996">
          <w:marLeft w:val="0"/>
          <w:marRight w:val="0"/>
          <w:marTop w:val="0"/>
          <w:marBottom w:val="0"/>
          <w:divBdr>
            <w:top w:val="none" w:sz="0" w:space="0" w:color="auto"/>
            <w:left w:val="none" w:sz="0" w:space="0" w:color="auto"/>
            <w:bottom w:val="none" w:sz="0" w:space="0" w:color="auto"/>
            <w:right w:val="none" w:sz="0" w:space="0" w:color="auto"/>
          </w:divBdr>
          <w:divsChild>
            <w:div w:id="685669397">
              <w:marLeft w:val="0"/>
              <w:marRight w:val="0"/>
              <w:marTop w:val="0"/>
              <w:marBottom w:val="0"/>
              <w:divBdr>
                <w:top w:val="none" w:sz="0" w:space="0" w:color="auto"/>
                <w:left w:val="none" w:sz="0" w:space="0" w:color="auto"/>
                <w:bottom w:val="none" w:sz="0" w:space="0" w:color="auto"/>
                <w:right w:val="none" w:sz="0" w:space="0" w:color="auto"/>
              </w:divBdr>
            </w:div>
          </w:divsChild>
        </w:div>
        <w:div w:id="198054551">
          <w:marLeft w:val="0"/>
          <w:marRight w:val="0"/>
          <w:marTop w:val="0"/>
          <w:marBottom w:val="0"/>
          <w:divBdr>
            <w:top w:val="none" w:sz="0" w:space="0" w:color="auto"/>
            <w:left w:val="none" w:sz="0" w:space="0" w:color="auto"/>
            <w:bottom w:val="none" w:sz="0" w:space="0" w:color="auto"/>
            <w:right w:val="none" w:sz="0" w:space="0" w:color="auto"/>
          </w:divBdr>
          <w:divsChild>
            <w:div w:id="655494632">
              <w:marLeft w:val="0"/>
              <w:marRight w:val="0"/>
              <w:marTop w:val="0"/>
              <w:marBottom w:val="0"/>
              <w:divBdr>
                <w:top w:val="none" w:sz="0" w:space="0" w:color="auto"/>
                <w:left w:val="none" w:sz="0" w:space="0" w:color="auto"/>
                <w:bottom w:val="none" w:sz="0" w:space="0" w:color="auto"/>
                <w:right w:val="none" w:sz="0" w:space="0" w:color="auto"/>
              </w:divBdr>
            </w:div>
          </w:divsChild>
        </w:div>
        <w:div w:id="396906525">
          <w:marLeft w:val="0"/>
          <w:marRight w:val="0"/>
          <w:marTop w:val="0"/>
          <w:marBottom w:val="0"/>
          <w:divBdr>
            <w:top w:val="none" w:sz="0" w:space="0" w:color="auto"/>
            <w:left w:val="none" w:sz="0" w:space="0" w:color="auto"/>
            <w:bottom w:val="none" w:sz="0" w:space="0" w:color="auto"/>
            <w:right w:val="none" w:sz="0" w:space="0" w:color="auto"/>
          </w:divBdr>
          <w:divsChild>
            <w:div w:id="914364355">
              <w:marLeft w:val="0"/>
              <w:marRight w:val="0"/>
              <w:marTop w:val="0"/>
              <w:marBottom w:val="0"/>
              <w:divBdr>
                <w:top w:val="none" w:sz="0" w:space="0" w:color="auto"/>
                <w:left w:val="none" w:sz="0" w:space="0" w:color="auto"/>
                <w:bottom w:val="none" w:sz="0" w:space="0" w:color="auto"/>
                <w:right w:val="none" w:sz="0" w:space="0" w:color="auto"/>
              </w:divBdr>
            </w:div>
          </w:divsChild>
        </w:div>
        <w:div w:id="2113285502">
          <w:marLeft w:val="0"/>
          <w:marRight w:val="0"/>
          <w:marTop w:val="0"/>
          <w:marBottom w:val="0"/>
          <w:divBdr>
            <w:top w:val="none" w:sz="0" w:space="0" w:color="auto"/>
            <w:left w:val="none" w:sz="0" w:space="0" w:color="auto"/>
            <w:bottom w:val="none" w:sz="0" w:space="0" w:color="auto"/>
            <w:right w:val="none" w:sz="0" w:space="0" w:color="auto"/>
          </w:divBdr>
          <w:divsChild>
            <w:div w:id="177277916">
              <w:marLeft w:val="0"/>
              <w:marRight w:val="0"/>
              <w:marTop w:val="0"/>
              <w:marBottom w:val="0"/>
              <w:divBdr>
                <w:top w:val="none" w:sz="0" w:space="0" w:color="auto"/>
                <w:left w:val="none" w:sz="0" w:space="0" w:color="auto"/>
                <w:bottom w:val="none" w:sz="0" w:space="0" w:color="auto"/>
                <w:right w:val="none" w:sz="0" w:space="0" w:color="auto"/>
              </w:divBdr>
            </w:div>
          </w:divsChild>
        </w:div>
        <w:div w:id="1207371562">
          <w:marLeft w:val="0"/>
          <w:marRight w:val="0"/>
          <w:marTop w:val="0"/>
          <w:marBottom w:val="0"/>
          <w:divBdr>
            <w:top w:val="none" w:sz="0" w:space="0" w:color="auto"/>
            <w:left w:val="none" w:sz="0" w:space="0" w:color="auto"/>
            <w:bottom w:val="none" w:sz="0" w:space="0" w:color="auto"/>
            <w:right w:val="none" w:sz="0" w:space="0" w:color="auto"/>
          </w:divBdr>
          <w:divsChild>
            <w:div w:id="1658147100">
              <w:marLeft w:val="0"/>
              <w:marRight w:val="0"/>
              <w:marTop w:val="0"/>
              <w:marBottom w:val="0"/>
              <w:divBdr>
                <w:top w:val="none" w:sz="0" w:space="0" w:color="auto"/>
                <w:left w:val="none" w:sz="0" w:space="0" w:color="auto"/>
                <w:bottom w:val="none" w:sz="0" w:space="0" w:color="auto"/>
                <w:right w:val="none" w:sz="0" w:space="0" w:color="auto"/>
              </w:divBdr>
            </w:div>
          </w:divsChild>
        </w:div>
        <w:div w:id="745565728">
          <w:marLeft w:val="0"/>
          <w:marRight w:val="0"/>
          <w:marTop w:val="0"/>
          <w:marBottom w:val="0"/>
          <w:divBdr>
            <w:top w:val="none" w:sz="0" w:space="0" w:color="auto"/>
            <w:left w:val="none" w:sz="0" w:space="0" w:color="auto"/>
            <w:bottom w:val="none" w:sz="0" w:space="0" w:color="auto"/>
            <w:right w:val="none" w:sz="0" w:space="0" w:color="auto"/>
          </w:divBdr>
          <w:divsChild>
            <w:div w:id="1572351447">
              <w:marLeft w:val="0"/>
              <w:marRight w:val="0"/>
              <w:marTop w:val="0"/>
              <w:marBottom w:val="0"/>
              <w:divBdr>
                <w:top w:val="none" w:sz="0" w:space="0" w:color="auto"/>
                <w:left w:val="none" w:sz="0" w:space="0" w:color="auto"/>
                <w:bottom w:val="none" w:sz="0" w:space="0" w:color="auto"/>
                <w:right w:val="none" w:sz="0" w:space="0" w:color="auto"/>
              </w:divBdr>
            </w:div>
          </w:divsChild>
        </w:div>
        <w:div w:id="544148442">
          <w:marLeft w:val="0"/>
          <w:marRight w:val="0"/>
          <w:marTop w:val="0"/>
          <w:marBottom w:val="0"/>
          <w:divBdr>
            <w:top w:val="none" w:sz="0" w:space="0" w:color="auto"/>
            <w:left w:val="none" w:sz="0" w:space="0" w:color="auto"/>
            <w:bottom w:val="none" w:sz="0" w:space="0" w:color="auto"/>
            <w:right w:val="none" w:sz="0" w:space="0" w:color="auto"/>
          </w:divBdr>
          <w:divsChild>
            <w:div w:id="1840462863">
              <w:marLeft w:val="0"/>
              <w:marRight w:val="0"/>
              <w:marTop w:val="0"/>
              <w:marBottom w:val="0"/>
              <w:divBdr>
                <w:top w:val="none" w:sz="0" w:space="0" w:color="auto"/>
                <w:left w:val="none" w:sz="0" w:space="0" w:color="auto"/>
                <w:bottom w:val="none" w:sz="0" w:space="0" w:color="auto"/>
                <w:right w:val="none" w:sz="0" w:space="0" w:color="auto"/>
              </w:divBdr>
            </w:div>
          </w:divsChild>
        </w:div>
        <w:div w:id="329142060">
          <w:marLeft w:val="0"/>
          <w:marRight w:val="0"/>
          <w:marTop w:val="0"/>
          <w:marBottom w:val="0"/>
          <w:divBdr>
            <w:top w:val="none" w:sz="0" w:space="0" w:color="auto"/>
            <w:left w:val="none" w:sz="0" w:space="0" w:color="auto"/>
            <w:bottom w:val="none" w:sz="0" w:space="0" w:color="auto"/>
            <w:right w:val="none" w:sz="0" w:space="0" w:color="auto"/>
          </w:divBdr>
          <w:divsChild>
            <w:div w:id="835222624">
              <w:marLeft w:val="0"/>
              <w:marRight w:val="0"/>
              <w:marTop w:val="0"/>
              <w:marBottom w:val="0"/>
              <w:divBdr>
                <w:top w:val="none" w:sz="0" w:space="0" w:color="auto"/>
                <w:left w:val="none" w:sz="0" w:space="0" w:color="auto"/>
                <w:bottom w:val="none" w:sz="0" w:space="0" w:color="auto"/>
                <w:right w:val="none" w:sz="0" w:space="0" w:color="auto"/>
              </w:divBdr>
            </w:div>
          </w:divsChild>
        </w:div>
        <w:div w:id="1095899838">
          <w:marLeft w:val="0"/>
          <w:marRight w:val="0"/>
          <w:marTop w:val="0"/>
          <w:marBottom w:val="0"/>
          <w:divBdr>
            <w:top w:val="none" w:sz="0" w:space="0" w:color="auto"/>
            <w:left w:val="none" w:sz="0" w:space="0" w:color="auto"/>
            <w:bottom w:val="none" w:sz="0" w:space="0" w:color="auto"/>
            <w:right w:val="none" w:sz="0" w:space="0" w:color="auto"/>
          </w:divBdr>
          <w:divsChild>
            <w:div w:id="1706368621">
              <w:marLeft w:val="0"/>
              <w:marRight w:val="0"/>
              <w:marTop w:val="0"/>
              <w:marBottom w:val="0"/>
              <w:divBdr>
                <w:top w:val="none" w:sz="0" w:space="0" w:color="auto"/>
                <w:left w:val="none" w:sz="0" w:space="0" w:color="auto"/>
                <w:bottom w:val="none" w:sz="0" w:space="0" w:color="auto"/>
                <w:right w:val="none" w:sz="0" w:space="0" w:color="auto"/>
              </w:divBdr>
            </w:div>
          </w:divsChild>
        </w:div>
        <w:div w:id="1764256073">
          <w:marLeft w:val="0"/>
          <w:marRight w:val="0"/>
          <w:marTop w:val="0"/>
          <w:marBottom w:val="0"/>
          <w:divBdr>
            <w:top w:val="none" w:sz="0" w:space="0" w:color="auto"/>
            <w:left w:val="none" w:sz="0" w:space="0" w:color="auto"/>
            <w:bottom w:val="none" w:sz="0" w:space="0" w:color="auto"/>
            <w:right w:val="none" w:sz="0" w:space="0" w:color="auto"/>
          </w:divBdr>
          <w:divsChild>
            <w:div w:id="1800107155">
              <w:marLeft w:val="0"/>
              <w:marRight w:val="0"/>
              <w:marTop w:val="0"/>
              <w:marBottom w:val="0"/>
              <w:divBdr>
                <w:top w:val="none" w:sz="0" w:space="0" w:color="auto"/>
                <w:left w:val="none" w:sz="0" w:space="0" w:color="auto"/>
                <w:bottom w:val="none" w:sz="0" w:space="0" w:color="auto"/>
                <w:right w:val="none" w:sz="0" w:space="0" w:color="auto"/>
              </w:divBdr>
            </w:div>
          </w:divsChild>
        </w:div>
        <w:div w:id="1385134880">
          <w:marLeft w:val="0"/>
          <w:marRight w:val="0"/>
          <w:marTop w:val="0"/>
          <w:marBottom w:val="0"/>
          <w:divBdr>
            <w:top w:val="none" w:sz="0" w:space="0" w:color="auto"/>
            <w:left w:val="none" w:sz="0" w:space="0" w:color="auto"/>
            <w:bottom w:val="none" w:sz="0" w:space="0" w:color="auto"/>
            <w:right w:val="none" w:sz="0" w:space="0" w:color="auto"/>
          </w:divBdr>
          <w:divsChild>
            <w:div w:id="943197837">
              <w:marLeft w:val="0"/>
              <w:marRight w:val="0"/>
              <w:marTop w:val="0"/>
              <w:marBottom w:val="0"/>
              <w:divBdr>
                <w:top w:val="none" w:sz="0" w:space="0" w:color="auto"/>
                <w:left w:val="none" w:sz="0" w:space="0" w:color="auto"/>
                <w:bottom w:val="none" w:sz="0" w:space="0" w:color="auto"/>
                <w:right w:val="none" w:sz="0" w:space="0" w:color="auto"/>
              </w:divBdr>
            </w:div>
          </w:divsChild>
        </w:div>
        <w:div w:id="567115736">
          <w:marLeft w:val="0"/>
          <w:marRight w:val="0"/>
          <w:marTop w:val="0"/>
          <w:marBottom w:val="0"/>
          <w:divBdr>
            <w:top w:val="none" w:sz="0" w:space="0" w:color="auto"/>
            <w:left w:val="none" w:sz="0" w:space="0" w:color="auto"/>
            <w:bottom w:val="none" w:sz="0" w:space="0" w:color="auto"/>
            <w:right w:val="none" w:sz="0" w:space="0" w:color="auto"/>
          </w:divBdr>
          <w:divsChild>
            <w:div w:id="965310333">
              <w:marLeft w:val="0"/>
              <w:marRight w:val="0"/>
              <w:marTop w:val="0"/>
              <w:marBottom w:val="0"/>
              <w:divBdr>
                <w:top w:val="none" w:sz="0" w:space="0" w:color="auto"/>
                <w:left w:val="none" w:sz="0" w:space="0" w:color="auto"/>
                <w:bottom w:val="none" w:sz="0" w:space="0" w:color="auto"/>
                <w:right w:val="none" w:sz="0" w:space="0" w:color="auto"/>
              </w:divBdr>
            </w:div>
          </w:divsChild>
        </w:div>
        <w:div w:id="1673727701">
          <w:marLeft w:val="0"/>
          <w:marRight w:val="0"/>
          <w:marTop w:val="0"/>
          <w:marBottom w:val="0"/>
          <w:divBdr>
            <w:top w:val="none" w:sz="0" w:space="0" w:color="auto"/>
            <w:left w:val="none" w:sz="0" w:space="0" w:color="auto"/>
            <w:bottom w:val="none" w:sz="0" w:space="0" w:color="auto"/>
            <w:right w:val="none" w:sz="0" w:space="0" w:color="auto"/>
          </w:divBdr>
          <w:divsChild>
            <w:div w:id="652877322">
              <w:marLeft w:val="0"/>
              <w:marRight w:val="0"/>
              <w:marTop w:val="0"/>
              <w:marBottom w:val="0"/>
              <w:divBdr>
                <w:top w:val="none" w:sz="0" w:space="0" w:color="auto"/>
                <w:left w:val="none" w:sz="0" w:space="0" w:color="auto"/>
                <w:bottom w:val="none" w:sz="0" w:space="0" w:color="auto"/>
                <w:right w:val="none" w:sz="0" w:space="0" w:color="auto"/>
              </w:divBdr>
            </w:div>
          </w:divsChild>
        </w:div>
        <w:div w:id="2036226942">
          <w:marLeft w:val="0"/>
          <w:marRight w:val="0"/>
          <w:marTop w:val="0"/>
          <w:marBottom w:val="0"/>
          <w:divBdr>
            <w:top w:val="none" w:sz="0" w:space="0" w:color="auto"/>
            <w:left w:val="none" w:sz="0" w:space="0" w:color="auto"/>
            <w:bottom w:val="none" w:sz="0" w:space="0" w:color="auto"/>
            <w:right w:val="none" w:sz="0" w:space="0" w:color="auto"/>
          </w:divBdr>
          <w:divsChild>
            <w:div w:id="123348381">
              <w:marLeft w:val="0"/>
              <w:marRight w:val="0"/>
              <w:marTop w:val="0"/>
              <w:marBottom w:val="0"/>
              <w:divBdr>
                <w:top w:val="none" w:sz="0" w:space="0" w:color="auto"/>
                <w:left w:val="none" w:sz="0" w:space="0" w:color="auto"/>
                <w:bottom w:val="none" w:sz="0" w:space="0" w:color="auto"/>
                <w:right w:val="none" w:sz="0" w:space="0" w:color="auto"/>
              </w:divBdr>
            </w:div>
          </w:divsChild>
        </w:div>
        <w:div w:id="969751227">
          <w:marLeft w:val="0"/>
          <w:marRight w:val="0"/>
          <w:marTop w:val="0"/>
          <w:marBottom w:val="0"/>
          <w:divBdr>
            <w:top w:val="none" w:sz="0" w:space="0" w:color="auto"/>
            <w:left w:val="none" w:sz="0" w:space="0" w:color="auto"/>
            <w:bottom w:val="none" w:sz="0" w:space="0" w:color="auto"/>
            <w:right w:val="none" w:sz="0" w:space="0" w:color="auto"/>
          </w:divBdr>
          <w:divsChild>
            <w:div w:id="387147284">
              <w:marLeft w:val="0"/>
              <w:marRight w:val="0"/>
              <w:marTop w:val="0"/>
              <w:marBottom w:val="0"/>
              <w:divBdr>
                <w:top w:val="none" w:sz="0" w:space="0" w:color="auto"/>
                <w:left w:val="none" w:sz="0" w:space="0" w:color="auto"/>
                <w:bottom w:val="none" w:sz="0" w:space="0" w:color="auto"/>
                <w:right w:val="none" w:sz="0" w:space="0" w:color="auto"/>
              </w:divBdr>
            </w:div>
          </w:divsChild>
        </w:div>
        <w:div w:id="355277790">
          <w:marLeft w:val="0"/>
          <w:marRight w:val="0"/>
          <w:marTop w:val="0"/>
          <w:marBottom w:val="0"/>
          <w:divBdr>
            <w:top w:val="none" w:sz="0" w:space="0" w:color="auto"/>
            <w:left w:val="none" w:sz="0" w:space="0" w:color="auto"/>
            <w:bottom w:val="none" w:sz="0" w:space="0" w:color="auto"/>
            <w:right w:val="none" w:sz="0" w:space="0" w:color="auto"/>
          </w:divBdr>
          <w:divsChild>
            <w:div w:id="1047724890">
              <w:marLeft w:val="0"/>
              <w:marRight w:val="0"/>
              <w:marTop w:val="0"/>
              <w:marBottom w:val="0"/>
              <w:divBdr>
                <w:top w:val="none" w:sz="0" w:space="0" w:color="auto"/>
                <w:left w:val="none" w:sz="0" w:space="0" w:color="auto"/>
                <w:bottom w:val="none" w:sz="0" w:space="0" w:color="auto"/>
                <w:right w:val="none" w:sz="0" w:space="0" w:color="auto"/>
              </w:divBdr>
            </w:div>
          </w:divsChild>
        </w:div>
        <w:div w:id="855313289">
          <w:marLeft w:val="0"/>
          <w:marRight w:val="0"/>
          <w:marTop w:val="0"/>
          <w:marBottom w:val="0"/>
          <w:divBdr>
            <w:top w:val="none" w:sz="0" w:space="0" w:color="auto"/>
            <w:left w:val="none" w:sz="0" w:space="0" w:color="auto"/>
            <w:bottom w:val="none" w:sz="0" w:space="0" w:color="auto"/>
            <w:right w:val="none" w:sz="0" w:space="0" w:color="auto"/>
          </w:divBdr>
          <w:divsChild>
            <w:div w:id="443964260">
              <w:marLeft w:val="0"/>
              <w:marRight w:val="0"/>
              <w:marTop w:val="0"/>
              <w:marBottom w:val="0"/>
              <w:divBdr>
                <w:top w:val="none" w:sz="0" w:space="0" w:color="auto"/>
                <w:left w:val="none" w:sz="0" w:space="0" w:color="auto"/>
                <w:bottom w:val="none" w:sz="0" w:space="0" w:color="auto"/>
                <w:right w:val="none" w:sz="0" w:space="0" w:color="auto"/>
              </w:divBdr>
            </w:div>
          </w:divsChild>
        </w:div>
        <w:div w:id="935989376">
          <w:marLeft w:val="0"/>
          <w:marRight w:val="0"/>
          <w:marTop w:val="0"/>
          <w:marBottom w:val="0"/>
          <w:divBdr>
            <w:top w:val="none" w:sz="0" w:space="0" w:color="auto"/>
            <w:left w:val="none" w:sz="0" w:space="0" w:color="auto"/>
            <w:bottom w:val="none" w:sz="0" w:space="0" w:color="auto"/>
            <w:right w:val="none" w:sz="0" w:space="0" w:color="auto"/>
          </w:divBdr>
          <w:divsChild>
            <w:div w:id="48649096">
              <w:marLeft w:val="0"/>
              <w:marRight w:val="0"/>
              <w:marTop w:val="0"/>
              <w:marBottom w:val="0"/>
              <w:divBdr>
                <w:top w:val="none" w:sz="0" w:space="0" w:color="auto"/>
                <w:left w:val="none" w:sz="0" w:space="0" w:color="auto"/>
                <w:bottom w:val="none" w:sz="0" w:space="0" w:color="auto"/>
                <w:right w:val="none" w:sz="0" w:space="0" w:color="auto"/>
              </w:divBdr>
            </w:div>
          </w:divsChild>
        </w:div>
        <w:div w:id="1065957479">
          <w:marLeft w:val="0"/>
          <w:marRight w:val="0"/>
          <w:marTop w:val="0"/>
          <w:marBottom w:val="0"/>
          <w:divBdr>
            <w:top w:val="none" w:sz="0" w:space="0" w:color="auto"/>
            <w:left w:val="none" w:sz="0" w:space="0" w:color="auto"/>
            <w:bottom w:val="none" w:sz="0" w:space="0" w:color="auto"/>
            <w:right w:val="none" w:sz="0" w:space="0" w:color="auto"/>
          </w:divBdr>
          <w:divsChild>
            <w:div w:id="113132667">
              <w:marLeft w:val="0"/>
              <w:marRight w:val="0"/>
              <w:marTop w:val="0"/>
              <w:marBottom w:val="0"/>
              <w:divBdr>
                <w:top w:val="none" w:sz="0" w:space="0" w:color="auto"/>
                <w:left w:val="none" w:sz="0" w:space="0" w:color="auto"/>
                <w:bottom w:val="none" w:sz="0" w:space="0" w:color="auto"/>
                <w:right w:val="none" w:sz="0" w:space="0" w:color="auto"/>
              </w:divBdr>
            </w:div>
          </w:divsChild>
        </w:div>
        <w:div w:id="438139505">
          <w:marLeft w:val="0"/>
          <w:marRight w:val="0"/>
          <w:marTop w:val="0"/>
          <w:marBottom w:val="0"/>
          <w:divBdr>
            <w:top w:val="none" w:sz="0" w:space="0" w:color="auto"/>
            <w:left w:val="none" w:sz="0" w:space="0" w:color="auto"/>
            <w:bottom w:val="none" w:sz="0" w:space="0" w:color="auto"/>
            <w:right w:val="none" w:sz="0" w:space="0" w:color="auto"/>
          </w:divBdr>
          <w:divsChild>
            <w:div w:id="1831091792">
              <w:marLeft w:val="0"/>
              <w:marRight w:val="0"/>
              <w:marTop w:val="0"/>
              <w:marBottom w:val="0"/>
              <w:divBdr>
                <w:top w:val="none" w:sz="0" w:space="0" w:color="auto"/>
                <w:left w:val="none" w:sz="0" w:space="0" w:color="auto"/>
                <w:bottom w:val="none" w:sz="0" w:space="0" w:color="auto"/>
                <w:right w:val="none" w:sz="0" w:space="0" w:color="auto"/>
              </w:divBdr>
            </w:div>
          </w:divsChild>
        </w:div>
        <w:div w:id="358239276">
          <w:marLeft w:val="0"/>
          <w:marRight w:val="0"/>
          <w:marTop w:val="0"/>
          <w:marBottom w:val="0"/>
          <w:divBdr>
            <w:top w:val="none" w:sz="0" w:space="0" w:color="auto"/>
            <w:left w:val="none" w:sz="0" w:space="0" w:color="auto"/>
            <w:bottom w:val="none" w:sz="0" w:space="0" w:color="auto"/>
            <w:right w:val="none" w:sz="0" w:space="0" w:color="auto"/>
          </w:divBdr>
          <w:divsChild>
            <w:div w:id="1605529748">
              <w:marLeft w:val="0"/>
              <w:marRight w:val="0"/>
              <w:marTop w:val="0"/>
              <w:marBottom w:val="0"/>
              <w:divBdr>
                <w:top w:val="none" w:sz="0" w:space="0" w:color="auto"/>
                <w:left w:val="none" w:sz="0" w:space="0" w:color="auto"/>
                <w:bottom w:val="none" w:sz="0" w:space="0" w:color="auto"/>
                <w:right w:val="none" w:sz="0" w:space="0" w:color="auto"/>
              </w:divBdr>
            </w:div>
          </w:divsChild>
        </w:div>
        <w:div w:id="359743869">
          <w:marLeft w:val="0"/>
          <w:marRight w:val="0"/>
          <w:marTop w:val="0"/>
          <w:marBottom w:val="0"/>
          <w:divBdr>
            <w:top w:val="none" w:sz="0" w:space="0" w:color="auto"/>
            <w:left w:val="none" w:sz="0" w:space="0" w:color="auto"/>
            <w:bottom w:val="none" w:sz="0" w:space="0" w:color="auto"/>
            <w:right w:val="none" w:sz="0" w:space="0" w:color="auto"/>
          </w:divBdr>
          <w:divsChild>
            <w:div w:id="1466310699">
              <w:marLeft w:val="0"/>
              <w:marRight w:val="0"/>
              <w:marTop w:val="0"/>
              <w:marBottom w:val="0"/>
              <w:divBdr>
                <w:top w:val="none" w:sz="0" w:space="0" w:color="auto"/>
                <w:left w:val="none" w:sz="0" w:space="0" w:color="auto"/>
                <w:bottom w:val="none" w:sz="0" w:space="0" w:color="auto"/>
                <w:right w:val="none" w:sz="0" w:space="0" w:color="auto"/>
              </w:divBdr>
            </w:div>
          </w:divsChild>
        </w:div>
        <w:div w:id="1708682980">
          <w:marLeft w:val="0"/>
          <w:marRight w:val="0"/>
          <w:marTop w:val="0"/>
          <w:marBottom w:val="0"/>
          <w:divBdr>
            <w:top w:val="none" w:sz="0" w:space="0" w:color="auto"/>
            <w:left w:val="none" w:sz="0" w:space="0" w:color="auto"/>
            <w:bottom w:val="none" w:sz="0" w:space="0" w:color="auto"/>
            <w:right w:val="none" w:sz="0" w:space="0" w:color="auto"/>
          </w:divBdr>
          <w:divsChild>
            <w:div w:id="95177242">
              <w:marLeft w:val="0"/>
              <w:marRight w:val="0"/>
              <w:marTop w:val="0"/>
              <w:marBottom w:val="0"/>
              <w:divBdr>
                <w:top w:val="none" w:sz="0" w:space="0" w:color="auto"/>
                <w:left w:val="none" w:sz="0" w:space="0" w:color="auto"/>
                <w:bottom w:val="none" w:sz="0" w:space="0" w:color="auto"/>
                <w:right w:val="none" w:sz="0" w:space="0" w:color="auto"/>
              </w:divBdr>
            </w:div>
          </w:divsChild>
        </w:div>
        <w:div w:id="1887839512">
          <w:marLeft w:val="0"/>
          <w:marRight w:val="0"/>
          <w:marTop w:val="0"/>
          <w:marBottom w:val="0"/>
          <w:divBdr>
            <w:top w:val="none" w:sz="0" w:space="0" w:color="auto"/>
            <w:left w:val="none" w:sz="0" w:space="0" w:color="auto"/>
            <w:bottom w:val="none" w:sz="0" w:space="0" w:color="auto"/>
            <w:right w:val="none" w:sz="0" w:space="0" w:color="auto"/>
          </w:divBdr>
          <w:divsChild>
            <w:div w:id="1155029051">
              <w:marLeft w:val="0"/>
              <w:marRight w:val="0"/>
              <w:marTop w:val="0"/>
              <w:marBottom w:val="0"/>
              <w:divBdr>
                <w:top w:val="none" w:sz="0" w:space="0" w:color="auto"/>
                <w:left w:val="none" w:sz="0" w:space="0" w:color="auto"/>
                <w:bottom w:val="none" w:sz="0" w:space="0" w:color="auto"/>
                <w:right w:val="none" w:sz="0" w:space="0" w:color="auto"/>
              </w:divBdr>
            </w:div>
          </w:divsChild>
        </w:div>
        <w:div w:id="476071039">
          <w:marLeft w:val="0"/>
          <w:marRight w:val="0"/>
          <w:marTop w:val="0"/>
          <w:marBottom w:val="0"/>
          <w:divBdr>
            <w:top w:val="none" w:sz="0" w:space="0" w:color="auto"/>
            <w:left w:val="none" w:sz="0" w:space="0" w:color="auto"/>
            <w:bottom w:val="none" w:sz="0" w:space="0" w:color="auto"/>
            <w:right w:val="none" w:sz="0" w:space="0" w:color="auto"/>
          </w:divBdr>
          <w:divsChild>
            <w:div w:id="763843664">
              <w:marLeft w:val="0"/>
              <w:marRight w:val="0"/>
              <w:marTop w:val="0"/>
              <w:marBottom w:val="0"/>
              <w:divBdr>
                <w:top w:val="none" w:sz="0" w:space="0" w:color="auto"/>
                <w:left w:val="none" w:sz="0" w:space="0" w:color="auto"/>
                <w:bottom w:val="none" w:sz="0" w:space="0" w:color="auto"/>
                <w:right w:val="none" w:sz="0" w:space="0" w:color="auto"/>
              </w:divBdr>
            </w:div>
          </w:divsChild>
        </w:div>
        <w:div w:id="1662929112">
          <w:marLeft w:val="0"/>
          <w:marRight w:val="0"/>
          <w:marTop w:val="0"/>
          <w:marBottom w:val="0"/>
          <w:divBdr>
            <w:top w:val="none" w:sz="0" w:space="0" w:color="auto"/>
            <w:left w:val="none" w:sz="0" w:space="0" w:color="auto"/>
            <w:bottom w:val="none" w:sz="0" w:space="0" w:color="auto"/>
            <w:right w:val="none" w:sz="0" w:space="0" w:color="auto"/>
          </w:divBdr>
          <w:divsChild>
            <w:div w:id="1640184028">
              <w:marLeft w:val="0"/>
              <w:marRight w:val="0"/>
              <w:marTop w:val="0"/>
              <w:marBottom w:val="0"/>
              <w:divBdr>
                <w:top w:val="none" w:sz="0" w:space="0" w:color="auto"/>
                <w:left w:val="none" w:sz="0" w:space="0" w:color="auto"/>
                <w:bottom w:val="none" w:sz="0" w:space="0" w:color="auto"/>
                <w:right w:val="none" w:sz="0" w:space="0" w:color="auto"/>
              </w:divBdr>
            </w:div>
          </w:divsChild>
        </w:div>
        <w:div w:id="1749765278">
          <w:marLeft w:val="0"/>
          <w:marRight w:val="0"/>
          <w:marTop w:val="0"/>
          <w:marBottom w:val="0"/>
          <w:divBdr>
            <w:top w:val="none" w:sz="0" w:space="0" w:color="auto"/>
            <w:left w:val="none" w:sz="0" w:space="0" w:color="auto"/>
            <w:bottom w:val="none" w:sz="0" w:space="0" w:color="auto"/>
            <w:right w:val="none" w:sz="0" w:space="0" w:color="auto"/>
          </w:divBdr>
          <w:divsChild>
            <w:div w:id="6104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67126">
      <w:bodyDiv w:val="1"/>
      <w:marLeft w:val="0"/>
      <w:marRight w:val="0"/>
      <w:marTop w:val="0"/>
      <w:marBottom w:val="0"/>
      <w:divBdr>
        <w:top w:val="none" w:sz="0" w:space="0" w:color="auto"/>
        <w:left w:val="none" w:sz="0" w:space="0" w:color="auto"/>
        <w:bottom w:val="none" w:sz="0" w:space="0" w:color="auto"/>
        <w:right w:val="none" w:sz="0" w:space="0" w:color="auto"/>
      </w:divBdr>
    </w:div>
    <w:div w:id="206598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79</Pages>
  <Words>12432</Words>
  <Characters>70868</Characters>
  <Application>Microsoft Office Word</Application>
  <DocSecurity>0</DocSecurity>
  <Lines>590</Lines>
  <Paragraphs>166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2026-03-22T19:02:00Z</dcterms:created>
  <dcterms:modified xsi:type="dcterms:W3CDTF">2026-03-22T20:36:00Z</dcterms:modified>
</cp:coreProperties>
</file>