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after="280"/>
        <w:jc w:val="center"/>
      </w:pPr>
      <w:r>
        <w:rPr>
          <w:rFonts w:ascii="Calibri" w:hAnsi="Calibri" w:eastAsia="PingFang SC"/>
          <w:b/>
          <w:i w:val="0"/>
          <w:color w:val="17365D"/>
          <w:sz w:val="60"/>
        </w:rPr>
        <w:t>DisasterSociety</w:t>
      </w:r>
    </w:p>
    <w:p>
      <w:pPr>
        <w:spacing w:after="400"/>
        <w:jc w:val="center"/>
      </w:pPr>
      <w:r>
        <w:rPr>
          <w:rFonts w:ascii="Calibri" w:hAnsi="Calibri" w:eastAsia="PingFang SC"/>
          <w:b/>
          <w:i w:val="0"/>
          <w:color w:val="2E74B5"/>
          <w:sz w:val="40"/>
        </w:rPr>
        <w:t>面向跨灾种防护行为仿真的</w:t>
        <w:br/>
        <w:t>总体校准持续智能体框架</w:t>
      </w:r>
    </w:p>
    <w:p>
      <w:pPr>
        <w:spacing w:after="1400"/>
        <w:jc w:val="center"/>
      </w:pPr>
      <w:r>
        <w:rPr>
          <w:rFonts w:ascii="Calibri" w:hAnsi="Calibri" w:eastAsia="PingFang SC"/>
          <w:b w:val="0"/>
          <w:i w:val="0"/>
          <w:color w:val="6B7280"/>
          <w:sz w:val="25"/>
        </w:rPr>
        <w:t>论文中文内容审阅稿</w:t>
      </w:r>
    </w:p>
    <w:p>
      <w:pPr>
        <w:spacing w:after="140"/>
        <w:jc w:val="center"/>
      </w:pPr>
      <w:r>
        <w:rPr>
          <w:rFonts w:ascii="Calibri" w:hAnsi="Calibri" w:eastAsia="PingFang SC"/>
          <w:b w:val="0"/>
          <w:i w:val="0"/>
          <w:color w:val="6B7280"/>
          <w:sz w:val="21"/>
        </w:rPr>
        <w:t>对应英文稿：IEEE Transactions / Journals 通用期刊格式</w:t>
      </w:r>
    </w:p>
    <w:p>
      <w:pPr>
        <w:spacing w:after="140"/>
        <w:jc w:val="center"/>
      </w:pPr>
      <w:r>
        <w:rPr>
          <w:rFonts w:ascii="Calibri" w:hAnsi="Calibri" w:eastAsia="PingFang SC"/>
          <w:b w:val="0"/>
          <w:i w:val="0"/>
          <w:color w:val="6B7280"/>
          <w:sz w:val="21"/>
        </w:rPr>
        <w:t>研究对象：飓风与野火条件下的家庭防护行为事件历史</w:t>
      </w:r>
    </w:p>
    <w:p>
      <w:pPr>
        <w:spacing w:after="140"/>
        <w:jc w:val="center"/>
      </w:pPr>
      <w:r>
        <w:rPr>
          <w:rFonts w:ascii="Calibri" w:hAnsi="Calibri" w:eastAsia="PingFang SC"/>
          <w:b w:val="0"/>
          <w:i w:val="0"/>
          <w:color w:val="6B7280"/>
          <w:sz w:val="21"/>
        </w:rPr>
        <w:t>当前状态：已纳入全部已完成定量实验；人工盲评尚未写入正文</w:t>
      </w:r>
    </w:p>
    <w:p>
      <w:pPr>
        <w:spacing w:after="140"/>
        <w:jc w:val="center"/>
      </w:pPr>
      <w:r>
        <w:rPr>
          <w:rFonts w:ascii="Calibri" w:hAnsi="Calibri" w:eastAsia="PingFang SC"/>
          <w:b w:val="0"/>
          <w:i w:val="0"/>
          <w:color w:val="6B7280"/>
          <w:sz w:val="21"/>
        </w:rPr>
        <w:t>日期：2026年7月</w:t>
      </w:r>
    </w:p>
    <w:p>
      <w:r>
        <w:br w:type="page"/>
      </w:r>
    </w:p>
    <w:p>
      <w:pPr>
        <w:pStyle w:val="Heading1"/>
        <w:keepNext/>
      </w:pPr>
      <w:r>
        <w:rPr>
          <w:rFonts w:ascii="Calibri" w:hAnsi="Calibri" w:eastAsia="PingFang SC"/>
          <w:b/>
          <w:i w:val="0"/>
          <w:color w:val="2E74B5"/>
          <w:sz w:val="32"/>
        </w:rPr>
        <w:t>摘要</w:t>
      </w:r>
    </w:p>
    <w:p>
      <w:pPr>
        <w:keepLines w:val="0"/>
        <w:spacing w:before="0" w:after="140" w:line="312" w:lineRule="auto"/>
        <w:jc w:val="both"/>
      </w:pPr>
      <w:r>
        <w:rPr>
          <w:rFonts w:ascii="Calibri" w:hAnsi="Calibri" w:eastAsia="PingFang SC"/>
          <w:b w:val="0"/>
          <w:i w:val="0"/>
          <w:color w:val="111111"/>
          <w:sz w:val="21"/>
        </w:rPr>
        <w:t>灾后调查能够记录家庭是否撤离以及何时撤离，但观测到的最终结果只是一个过程的终点。这个过程通常包括接收预警、判断信息来源、评估威胁、准备物资、协调家庭成员，以及最终执行或放弃防护行动。统计模型可以估计行为概率和总体分布，却不会自然生成上述连续过程；大语言模型智能体能够生成细致的行动轨迹，但其总体行为频率往往缺乏校准。本文提出 DisasterSociety：一种将“总体校准”与“过程生成”分离的生成式多智能体框架。框架首先用训练集拟合家庭连续行为倾向，再由持续存在的家庭智能体根据有时间边界且保留来源信息的证据更新防护行动决策模型（Protective Action Decision Model，PADM）状态。训练集拟合的时间质量只有在智能体进入合法的撤离前风险集合后才会被消耗；过早到达的时间质量会被延期，而不会被隐式转化为一个已发生事件。框架使用五分层、家庭偏移的拉丁超立方生命周期抽样降低有限种子带来的波动，同时不预先给家庭指定二元撤离类别。</w:t>
      </w:r>
    </w:p>
    <w:p>
      <w:pPr>
        <w:keepLines w:val="0"/>
        <w:spacing w:before="0" w:after="140" w:line="312" w:lineRule="auto"/>
        <w:jc w:val="both"/>
      </w:pPr>
      <w:r>
        <w:rPr>
          <w:rFonts w:ascii="Calibri" w:hAnsi="Calibri" w:eastAsia="PingFang SC"/>
          <w:b w:val="0"/>
          <w:i w:val="0"/>
          <w:color w:val="111111"/>
          <w:sz w:val="21"/>
        </w:rPr>
        <w:t>我们在 Hurricane Irma 与 Carr Fire 两个灾后调查数据集上进行验证，并使用独立公开事件时间线限制智能体可获得的信息。在 Irma 的 87 户测试队列中，五种子集成的 Macro-F1 为 0.551、总体撤离比例误差为 0.018；上下文倾向模型分别为 0.494 和 0.045。Macro-F1 点估计有所提高，但 95% 自助法置信区间跨越零。在配对的 30 户机制消融中，持续状态相对无状态智能体将 Macro-F1 提高 0.331，95% 置信区间为 [0.125, 0.522]；执行反馈、记忆和计划修订没有表现出可识别的额外预测收益。冻结的 Irma 到 Carr 迁移保留了部分家庭排序能力，但明显低估 Carr 的总体撤离基准率。仅使用 Carr 训练集拟合截距与时间适配器后，Carr 测试集总体比例误差降至 0.0029，Brier 分数降至 0.103，六小时时间分辨率下的撤离时间 Wasserstein 距离降至 5.49 小时。所有正式主运行均未出现非法状态转移或未来信息泄漏。结果支持持续状态以及“总体校准—过程生成分离”这两个机制，同时说明事件基准率和时间分布仍需要显式的灾害与事件适配器。</w:t>
      </w:r>
    </w:p>
    <w:p>
      <w:pPr>
        <w:keepLines w:val="0"/>
        <w:spacing w:before="0" w:after="140" w:line="312" w:lineRule="auto"/>
        <w:jc w:val="both"/>
      </w:pPr>
      <w:r>
        <w:rPr>
          <w:rFonts w:ascii="Calibri" w:hAnsi="Calibri" w:eastAsia="PingFang SC"/>
          <w:b/>
          <w:i w:val="0"/>
          <w:color w:val="111111"/>
          <w:sz w:val="21"/>
        </w:rPr>
        <w:t>关键词：</w:t>
      </w:r>
      <w:r>
        <w:rPr>
          <w:rFonts w:ascii="Calibri" w:hAnsi="Calibri" w:eastAsia="PingFang SC"/>
          <w:b w:val="0"/>
          <w:i w:val="0"/>
          <w:color w:val="111111"/>
          <w:sz w:val="21"/>
        </w:rPr>
        <w:t>生成式智能体；多智能体仿真；灾害撤离；防护行动；认知建模；事件历史；概率校准；跨灾种验证。</w:t>
      </w:r>
    </w:p>
    <w:p>
      <w:pPr>
        <w:pStyle w:val="Heading1"/>
        <w:keepNext/>
      </w:pPr>
      <w:r>
        <w:rPr>
          <w:rFonts w:ascii="Calibri" w:hAnsi="Calibri" w:eastAsia="PingFang SC"/>
          <w:b/>
          <w:i w:val="0"/>
          <w:color w:val="2E74B5"/>
          <w:sz w:val="32"/>
        </w:rPr>
        <w:t>1 引言</w:t>
      </w:r>
    </w:p>
    <w:p>
      <w:pPr>
        <w:keepLines w:val="0"/>
        <w:spacing w:before="0" w:after="140" w:line="312" w:lineRule="auto"/>
        <w:jc w:val="both"/>
      </w:pPr>
      <w:r>
        <w:rPr>
          <w:rFonts w:ascii="Calibri" w:hAnsi="Calibri" w:eastAsia="PingFang SC"/>
          <w:b w:val="0"/>
          <w:i w:val="0"/>
          <w:color w:val="111111"/>
          <w:sz w:val="21"/>
        </w:rPr>
        <w:t>家庭在野火或飓风中的防护行动不是一个瞬时分类问题。家庭会陆续接触到不完整的信息，判断信息来源是否可信，评估危险是否会影响自己，检查交通工具、照护对象和物资等约束，进行准备，随后才可能撤离或决定留下。单一的撤离标签无法表达这一历史；单独的撤离时间也无法解释家庭为何在该时刻具备行动条件。</w:t>
      </w:r>
    </w:p>
    <w:p>
      <w:pPr>
        <w:keepLines w:val="0"/>
        <w:spacing w:before="0" w:after="140" w:line="312" w:lineRule="auto"/>
        <w:jc w:val="both"/>
      </w:pPr>
      <w:r>
        <w:rPr>
          <w:rFonts w:ascii="Calibri" w:hAnsi="Calibri" w:eastAsia="PingFang SC"/>
          <w:b w:val="0"/>
          <w:i w:val="0"/>
          <w:color w:val="111111"/>
          <w:sz w:val="21"/>
        </w:rPr>
        <w:t>统计选择模型与事件历史模型能够提供经过校准的撤离概率和时间估计。当任务是监督预测时，它们仍然是必要的参考。但这类模型通常不会生成“观察—评估—准备—执行—反馈—修订”的因果序列。规则型智能体模型能够加入时间状态和交互[1], [2]，却要求研究者手工指定大量行为转移，并且往往与单一灾害绑定。</w:t>
      </w:r>
    </w:p>
    <w:p>
      <w:pPr>
        <w:keepLines w:val="0"/>
        <w:spacing w:before="0" w:after="140" w:line="312" w:lineRule="auto"/>
        <w:jc w:val="both"/>
      </w:pPr>
      <w:r>
        <w:rPr>
          <w:rFonts w:ascii="Calibri" w:hAnsi="Calibri" w:eastAsia="PingFang SC"/>
          <w:b w:val="0"/>
          <w:i w:val="0"/>
          <w:color w:val="111111"/>
          <w:sz w:val="21"/>
        </w:rPr>
        <w:t>大语言模型提供了另一种过程建模方式：受约束的 LLM 策略可以解释异构证据，并输出结构化行动。但是，文本看起来合理并不意味着总体分布正确。生成式智能体可能在语言层面高度可信，同时系统性地高估撤离、过早采取行动，或者在不同随机种子之间产生过大波动。如果研究目标是社会仿真，仅有轨迹可读性远远不够。</w:t>
      </w:r>
    </w:p>
    <w:p>
      <w:pPr>
        <w:keepLines w:val="0"/>
        <w:spacing w:before="0" w:after="140" w:line="312" w:lineRule="auto"/>
        <w:jc w:val="both"/>
      </w:pPr>
      <w:r>
        <w:rPr>
          <w:rFonts w:ascii="Calibri" w:hAnsi="Calibri" w:eastAsia="PingFang SC"/>
          <w:b w:val="0"/>
          <w:i w:val="0"/>
          <w:color w:val="111111"/>
          <w:sz w:val="21"/>
        </w:rPr>
        <w:t>本文把灾害防护行动仿真表述为两个相互关联但不可混同的问题。第一，总体校准问题：模拟群体的行为频率和时间分布应与调查数据一致。第二，过程生成问题：每个家庭必须按照当时可获得的信息、持续认知状态和现实约束，生成合法且可审计的事件历史。DisasterSociety 用统计层约束总体概率，用持续智能体生成过程，并用合法执行器连接二者。</w:t>
      </w:r>
    </w:p>
    <w:p>
      <w:pPr>
        <w:keepLines w:val="0"/>
        <w:spacing w:before="0" w:after="140" w:line="312" w:lineRule="auto"/>
        <w:jc w:val="both"/>
      </w:pPr>
      <w:r>
        <w:rPr>
          <w:rFonts w:ascii="Calibri" w:hAnsi="Calibri" w:eastAsia="PingFang SC"/>
          <w:b w:val="0"/>
          <w:i w:val="0"/>
          <w:color w:val="111111"/>
          <w:sz w:val="21"/>
        </w:rPr>
        <w:t>本文的主要贡献包括：提出一个跨灾种的统一家庭智能体接口，明确区分世界事实、智能体观察、智能体信念和评估标签；提出延期时间质量控制器，在不预先指定最终类别、不强制窗口末撤离的情况下，使连续家庭倾向与时间过程相结合；构建同步并发仿真内核，使智能体持续存在，同时避免并发带来的模拟时间错误；并在 Irma 与 Carr 数据上分别验证总体重建、持续状态机制、跨灾种迁移、目标训练适配与撤离时间重建。</w:t>
      </w:r>
    </w:p>
    <w:p>
      <w:pPr>
        <w:pStyle w:val="Heading1"/>
        <w:keepNext/>
      </w:pPr>
      <w:r>
        <w:rPr>
          <w:rFonts w:ascii="Calibri" w:hAnsi="Calibri" w:eastAsia="PingFang SC"/>
          <w:b/>
          <w:i w:val="0"/>
          <w:color w:val="2E74B5"/>
          <w:sz w:val="32"/>
        </w:rPr>
        <w:t>2 相关工作</w:t>
      </w:r>
    </w:p>
    <w:p>
      <w:pPr>
        <w:pStyle w:val="Heading2"/>
        <w:keepNext/>
      </w:pPr>
      <w:r>
        <w:rPr>
          <w:rFonts w:ascii="Calibri" w:hAnsi="Calibri" w:eastAsia="PingFang SC"/>
          <w:b/>
          <w:i w:val="0"/>
          <w:color w:val="2E74B5"/>
          <w:sz w:val="26"/>
        </w:rPr>
        <w:t>2.1 灾害防护行为与撤离建模</w:t>
      </w:r>
    </w:p>
    <w:p>
      <w:pPr>
        <w:keepLines w:val="0"/>
        <w:spacing w:before="0" w:after="140" w:line="312" w:lineRule="auto"/>
        <w:jc w:val="both"/>
      </w:pPr>
      <w:r>
        <w:rPr>
          <w:rFonts w:ascii="Calibri" w:hAnsi="Calibri" w:eastAsia="PingFang SC"/>
          <w:b w:val="0"/>
          <w:i w:val="0"/>
          <w:color w:val="111111"/>
          <w:sz w:val="21"/>
        </w:rPr>
        <w:t>PADM 将防护行动解释为由环境线索、社会线索、信息源、威胁感知、防护行动感知和利益相关者感知共同驱动的过程[7]。这一理论适合本研究，因为它明确区分“收到信息”“相信信息”“认为行动可行”和“真正执行行动”。传统离散选择模型适合估计是否撤离，生存分析或风险模型适合估计何时撤离[8]。真实野火撤离研究还表明，行为、道路网络和交通过程彼此关联[9]。相关综述指出，野火撤离仿真长期面临行为数据、决策模型与交通模型难以同时验证的问题[10]。本文不声称用 LLM 取代这些模型，而是研究持续生成过程如何与经验证的总体参考分布对接。</w:t>
      </w:r>
    </w:p>
    <w:p>
      <w:pPr>
        <w:pStyle w:val="Heading2"/>
        <w:keepNext/>
      </w:pPr>
      <w:r>
        <w:rPr>
          <w:rFonts w:ascii="Calibri" w:hAnsi="Calibri" w:eastAsia="PingFang SC"/>
          <w:b/>
          <w:i w:val="0"/>
          <w:color w:val="2E74B5"/>
          <w:sz w:val="26"/>
        </w:rPr>
        <w:t>2.2 生成式智能体与社会仿真</w:t>
      </w:r>
    </w:p>
    <w:p>
      <w:pPr>
        <w:keepLines w:val="0"/>
        <w:spacing w:before="0" w:after="140" w:line="312" w:lineRule="auto"/>
        <w:jc w:val="both"/>
      </w:pPr>
      <w:r>
        <w:rPr>
          <w:rFonts w:ascii="Calibri" w:hAnsi="Calibri" w:eastAsia="PingFang SC"/>
          <w:b w:val="0"/>
          <w:i w:val="0"/>
          <w:color w:val="111111"/>
          <w:sz w:val="21"/>
        </w:rPr>
        <w:t>Generative Agents 通过记忆、反思和规划生成长时段社会行为[3]。GenSim 将 LLM 智能体组织成通用社会实验平台[4]；AgentSociety 进一步关注大规模人口与干预实验[5]。已有综述指出，LLM 驱动的智能体建模具有更强的语义解释与交互能力，但校准、可重复性、计算成本和有效性仍是开放问题[11]。本研究借鉴持续状态与结构化认知，但不把“拥有更多模块”本身当作创新证据，而是通过消融检验各模块是否产生可识别影响。</w:t>
      </w:r>
    </w:p>
    <w:p>
      <w:pPr>
        <w:pStyle w:val="Heading2"/>
        <w:keepNext/>
      </w:pPr>
      <w:r>
        <w:rPr>
          <w:rFonts w:ascii="Calibri" w:hAnsi="Calibri" w:eastAsia="PingFang SC"/>
          <w:b/>
          <w:i w:val="0"/>
          <w:color w:val="2E74B5"/>
          <w:sz w:val="26"/>
        </w:rPr>
        <w:t>2.3 LLM 与灾害行为</w:t>
      </w:r>
    </w:p>
    <w:p>
      <w:pPr>
        <w:keepLines w:val="0"/>
        <w:spacing w:before="0" w:after="140" w:line="312" w:lineRule="auto"/>
        <w:jc w:val="both"/>
      </w:pPr>
      <w:r>
        <w:rPr>
          <w:rFonts w:ascii="Calibri" w:hAnsi="Calibri" w:eastAsia="PingFang SC"/>
          <w:b w:val="0"/>
          <w:i w:val="0"/>
          <w:color w:val="111111"/>
          <w:sz w:val="21"/>
        </w:rPr>
        <w:t>近期工作已经使用行为理论增强的 LLM 预测野火撤离决策[6]。这类研究的主要目标仍是个体分类。DisasterSociety 的目标不同：输出是整个群体在统一灾害时间线上的事件历史，而不是一次性标签。因此，个体分类只作为诊断指标之一，系统还必须评估总体比例、概率校准、撤离时间分布、状态转移合法性和信息因果性。</w:t>
      </w:r>
    </w:p>
    <w:p>
      <w:pPr>
        <w:pStyle w:val="Heading1"/>
        <w:keepNext/>
      </w:pPr>
      <w:r>
        <w:rPr>
          <w:rFonts w:ascii="Calibri" w:hAnsi="Calibri" w:eastAsia="PingFang SC"/>
          <w:b/>
          <w:i w:val="0"/>
          <w:color w:val="2E74B5"/>
          <w:sz w:val="32"/>
        </w:rPr>
        <w:t>3 问题定义与系统边界</w:t>
      </w:r>
    </w:p>
    <w:p>
      <w:pPr>
        <w:keepLines w:val="0"/>
        <w:spacing w:before="0" w:after="140" w:line="312" w:lineRule="auto"/>
        <w:jc w:val="both"/>
      </w:pPr>
      <w:r>
        <w:rPr>
          <w:rFonts w:ascii="Calibri" w:hAnsi="Calibri" w:eastAsia="PingFang SC"/>
          <w:b w:val="0"/>
          <w:i w:val="0"/>
          <w:color w:val="111111"/>
          <w:sz w:val="21"/>
        </w:rPr>
        <w:t>设模拟窗口包含离散时刻 t = 0, …, T−1，家庭集合为 i = 1, …, N。每个家庭包含人口属性 Xᵢ、经过合法信息传播后形成的观察 Oᵢ,ₜ、持续认知状态 Bᵢ,ₜ，以及动作 Aᵢ,ₜ。</w:t>
      </w:r>
    </w:p>
    <w:p>
      <w:pPr>
        <w:spacing w:before="100" w:after="140"/>
        <w:jc w:val="center"/>
      </w:pPr>
      <w:r>
        <w:rPr>
          <w:rFonts w:ascii="Cambria Math" w:hAnsi="Cambria Math" w:eastAsia="STSong"/>
          <w:b w:val="0"/>
          <w:i w:val="0"/>
          <w:color w:val="111111"/>
          <w:sz w:val="21"/>
        </w:rPr>
        <w:t>ζᵢ,ₜ = (Xᵢ, Oᵢ,≤ₜ, Bᵢ,ₜ)</w:t>
      </w:r>
      <w:r>
        <w:rPr>
          <w:rFonts w:ascii="Cambria Math" w:hAnsi="Cambria Math" w:eastAsia="PingFang SC"/>
          <w:b w:val="0"/>
          <w:i w:val="0"/>
          <w:color w:val="111111"/>
          <w:sz w:val="20"/>
        </w:rPr>
        <w:t xml:space="preserve">    (1)</w:t>
      </w:r>
    </w:p>
    <w:p>
      <w:pPr>
        <w:keepLines w:val="0"/>
        <w:spacing w:before="0" w:after="140" w:line="312" w:lineRule="auto"/>
        <w:jc w:val="both"/>
      </w:pPr>
      <w:r>
        <w:rPr>
          <w:rFonts w:ascii="Calibri" w:hAnsi="Calibri" w:eastAsia="PingFang SC"/>
          <w:b w:val="0"/>
          <w:i w:val="0"/>
          <w:color w:val="111111"/>
          <w:sz w:val="21"/>
        </w:rPr>
        <w:t>每个事件 e 都具有发布时间、地理范围、事件类型和来源。事件发布后并不等于所有家庭都已观察到它。世界状态 Wₜ、家庭观察 Oᵢ,ₜ 与家庭信念 Bᵢ,ₜ 必须保持区分：</w:t>
      </w:r>
    </w:p>
    <w:p>
      <w:pPr>
        <w:spacing w:before="100" w:after="140"/>
        <w:jc w:val="center"/>
      </w:pPr>
      <w:r>
        <w:rPr>
          <w:rFonts w:ascii="Cambria Math" w:hAnsi="Cambria Math" w:eastAsia="STSong"/>
          <w:b w:val="0"/>
          <w:i w:val="0"/>
          <w:color w:val="111111"/>
          <w:sz w:val="21"/>
        </w:rPr>
        <w:t>Wₜ ≠ Oᵢ,ₜ ≠ Bᵢ,ₜ</w:t>
      </w:r>
      <w:r>
        <w:rPr>
          <w:rFonts w:ascii="Cambria Math" w:hAnsi="Cambria Math" w:eastAsia="PingFang SC"/>
          <w:b w:val="0"/>
          <w:i w:val="0"/>
          <w:color w:val="111111"/>
          <w:sz w:val="20"/>
        </w:rPr>
        <w:t xml:space="preserve">    (2)</w:t>
      </w:r>
    </w:p>
    <w:p>
      <w:pPr>
        <w:keepLines w:val="0"/>
        <w:spacing w:before="0" w:after="140" w:line="312" w:lineRule="auto"/>
        <w:jc w:val="both"/>
      </w:pPr>
      <w:r>
        <w:rPr>
          <w:rFonts w:ascii="Calibri" w:hAnsi="Calibri" w:eastAsia="PingFang SC"/>
          <w:b w:val="0"/>
          <w:i w:val="0"/>
          <w:color w:val="111111"/>
          <w:sz w:val="21"/>
        </w:rPr>
        <w:t>只有在事件已经于时刻 t 前公开、与家庭相关并通过预设投递规则时，事件才可进入观察。智能体策略不能看到调查结果、真实撤离时间、拟合行为倾向、随机抽样值或未来事件。</w:t>
      </w:r>
    </w:p>
    <w:p>
      <w:pPr>
        <w:keepLines w:val="0"/>
        <w:spacing w:before="0" w:after="140" w:line="312" w:lineRule="auto"/>
        <w:jc w:val="both"/>
      </w:pPr>
      <w:r>
        <w:rPr>
          <w:rFonts w:ascii="Calibri" w:hAnsi="Calibri" w:eastAsia="PingFang SC"/>
          <w:b w:val="0"/>
          <w:i w:val="0"/>
          <w:color w:val="111111"/>
          <w:sz w:val="21"/>
        </w:rPr>
        <w:t>经验目标由三部分构成：结果分布误差、时间分布误差和过程诊断。</w:t>
      </w:r>
    </w:p>
    <w:p>
      <w:pPr>
        <w:spacing w:before="100" w:after="140"/>
        <w:jc w:val="center"/>
      </w:pPr>
      <w:r>
        <w:rPr>
          <w:rFonts w:ascii="Cambria Math" w:hAnsi="Cambria Math" w:eastAsia="STSong"/>
          <w:b w:val="0"/>
          <w:i w:val="0"/>
          <w:color w:val="111111"/>
          <w:sz w:val="21"/>
        </w:rPr>
        <w:t>L_outcome = d(P̂(Y), P_survey(Y))</w:t>
      </w:r>
      <w:r>
        <w:rPr>
          <w:rFonts w:ascii="Cambria Math" w:hAnsi="Cambria Math" w:eastAsia="PingFang SC"/>
          <w:b w:val="0"/>
          <w:i w:val="0"/>
          <w:color w:val="111111"/>
          <w:sz w:val="20"/>
        </w:rPr>
        <w:t xml:space="preserve">    (3)</w:t>
      </w:r>
    </w:p>
    <w:p>
      <w:pPr>
        <w:spacing w:before="100" w:after="140"/>
        <w:jc w:val="center"/>
      </w:pPr>
      <w:r>
        <w:rPr>
          <w:rFonts w:ascii="Cambria Math" w:hAnsi="Cambria Math" w:eastAsia="STSong"/>
          <w:b w:val="0"/>
          <w:i w:val="0"/>
          <w:color w:val="111111"/>
          <w:sz w:val="21"/>
        </w:rPr>
        <w:t>L_time = d(P̂(τ), P_survey(τ))</w:t>
      </w:r>
      <w:r>
        <w:rPr>
          <w:rFonts w:ascii="Cambria Math" w:hAnsi="Cambria Math" w:eastAsia="PingFang SC"/>
          <w:b w:val="0"/>
          <w:i w:val="0"/>
          <w:color w:val="111111"/>
          <w:sz w:val="20"/>
        </w:rPr>
        <w:t xml:space="preserve">    (4)</w:t>
      </w:r>
    </w:p>
    <w:p>
      <w:pPr>
        <w:spacing w:before="100" w:after="140"/>
        <w:jc w:val="center"/>
      </w:pPr>
      <w:r>
        <w:rPr>
          <w:rFonts w:ascii="Cambria Math" w:hAnsi="Cambria Math" w:eastAsia="STSong"/>
          <w:b w:val="0"/>
          <w:i w:val="0"/>
          <w:color w:val="111111"/>
          <w:sz w:val="21"/>
        </w:rPr>
        <w:t>L_process = φ({Hᵢ})</w:t>
      </w:r>
      <w:r>
        <w:rPr>
          <w:rFonts w:ascii="Cambria Math" w:hAnsi="Cambria Math" w:eastAsia="PingFang SC"/>
          <w:b w:val="0"/>
          <w:i w:val="0"/>
          <w:color w:val="111111"/>
          <w:sz w:val="20"/>
        </w:rPr>
        <w:t xml:space="preserve">    (5)</w:t>
      </w:r>
    </w:p>
    <w:p>
      <w:pPr>
        <w:keepLines w:val="0"/>
        <w:spacing w:before="0" w:after="140" w:line="312" w:lineRule="auto"/>
        <w:jc w:val="both"/>
      </w:pPr>
      <w:r>
        <w:rPr>
          <w:rFonts w:ascii="Calibri" w:hAnsi="Calibri" w:eastAsia="PingFang SC"/>
          <w:b w:val="0"/>
          <w:i w:val="0"/>
          <w:color w:val="111111"/>
          <w:sz w:val="21"/>
        </w:rPr>
        <w:t>其中 d 表示分布距离或校准误差，φ 包含状态转移合法性、时间因果性与机制诊断。任何一个分类指标都不能单独替代这三类证据。</w:t>
      </w:r>
    </w:p>
    <w:p>
      <w:pPr>
        <w:pStyle w:val="Heading1"/>
        <w:keepNext/>
      </w:pPr>
      <w:r>
        <w:rPr>
          <w:rFonts w:ascii="Calibri" w:hAnsi="Calibri" w:eastAsia="PingFang SC"/>
          <w:b/>
          <w:i w:val="0"/>
          <w:color w:val="2E74B5"/>
          <w:sz w:val="32"/>
        </w:rPr>
        <w:t>4 DisasterSociety 方法框架</w:t>
      </w:r>
    </w:p>
    <w:p>
      <w:pPr>
        <w:pStyle w:val="Heading2"/>
        <w:keepNext/>
      </w:pPr>
      <w:r>
        <w:rPr>
          <w:rFonts w:ascii="Calibri" w:hAnsi="Calibri" w:eastAsia="PingFang SC"/>
          <w:b/>
          <w:i w:val="0"/>
          <w:color w:val="2E74B5"/>
          <w:sz w:val="26"/>
        </w:rPr>
        <w:t>4.1 系统边界与适配器</w:t>
      </w:r>
    </w:p>
    <w:p>
      <w:pPr>
        <w:keepLines w:val="0"/>
        <w:spacing w:before="0" w:after="140" w:line="312" w:lineRule="auto"/>
        <w:jc w:val="both"/>
      </w:pPr>
      <w:r>
        <w:rPr>
          <w:rFonts w:ascii="Calibri" w:hAnsi="Calibri" w:eastAsia="PingFang SC"/>
          <w:b w:val="0"/>
          <w:i w:val="0"/>
          <w:color w:val="111111"/>
          <w:sz w:val="21"/>
        </w:rPr>
        <w:t>数据集适配器将不同灾害调查中的变量映射为统一的家庭与结果模式；灾害适配器将官方命令和公共灾害记录映射为带类型、时间戳和来源的证据。通用仿真器只读取统一模式。结果字段保存在独立评估存储中，不能进入智能体观察。</w:t>
      </w:r>
    </w:p>
    <w:p>
      <w:r>
        <w:drawing>
          <wp:inline xmlns:a="http://schemas.openxmlformats.org/drawingml/2006/main" xmlns:pic="http://schemas.openxmlformats.org/drawingml/2006/picture">
            <wp:extent cx="5897880" cy="2359152"/>
            <wp:docPr id="1" name="Picture 1" title="DisasterSociety系统边界图" descr="DisasterSociety系统边界图：灾后调查和独立灾害时间线分别经数据集适配器与灾害适配器进入统一家庭模式、事件流、通用智能体核心和校准层，最终输出家庭事件历史与审计指标。"/>
            <wp:cNvGraphicFramePr>
              <a:graphicFrameLocks noChangeAspect="1"/>
            </wp:cNvGraphicFramePr>
            <a:graphic>
              <a:graphicData uri="http://schemas.openxmlformats.org/drawingml/2006/picture">
                <pic:pic>
                  <pic:nvPicPr>
                    <pic:cNvPr id="0" name="framework_overview_zh.png"/>
                    <pic:cNvPicPr/>
                  </pic:nvPicPr>
                  <pic:blipFill>
                    <a:blip r:embed="rId11"/>
                    <a:stretch>
                      <a:fillRect/>
                    </a:stretch>
                  </pic:blipFill>
                  <pic:spPr>
                    <a:xfrm>
                      <a:off x="0" y="0"/>
                      <a:ext cx="5897880" cy="2359152"/>
                    </a:xfrm>
                    <a:prstGeom prst="rect"/>
                  </pic:spPr>
                </pic:pic>
              </a:graphicData>
            </a:graphic>
          </wp:inline>
        </w:drawing>
      </w:r>
    </w:p>
    <w:p>
      <w:pPr>
        <w:spacing w:before="60" w:after="180"/>
        <w:jc w:val="center"/>
      </w:pPr>
      <w:r>
        <w:rPr>
          <w:rFonts w:ascii="Calibri" w:hAnsi="Calibri" w:eastAsia="PingFang SC"/>
          <w:b w:val="0"/>
          <w:i w:val="0"/>
          <w:color w:val="6B7280"/>
          <w:sz w:val="18"/>
        </w:rPr>
        <w:t>图1  系统边界：调查结果与智能体输入分离；统一核心通过数据集和灾害适配器服务不同事件。</w:t>
      </w:r>
    </w:p>
    <w:p>
      <w:pPr>
        <w:pStyle w:val="Heading2"/>
        <w:keepNext/>
      </w:pPr>
      <w:r>
        <w:rPr>
          <w:rFonts w:ascii="Calibri" w:hAnsi="Calibri" w:eastAsia="PingFang SC"/>
          <w:b/>
          <w:i w:val="0"/>
          <w:color w:val="2E74B5"/>
          <w:sz w:val="26"/>
        </w:rPr>
        <w:t>4.2 训练集拟合的家庭行为倾向</w:t>
      </w:r>
    </w:p>
    <w:p>
      <w:pPr>
        <w:keepLines w:val="0"/>
        <w:spacing w:before="0" w:after="140" w:line="312" w:lineRule="auto"/>
        <w:jc w:val="both"/>
      </w:pPr>
      <w:r>
        <w:rPr>
          <w:rFonts w:ascii="Calibri" w:hAnsi="Calibri" w:eastAsia="PingFang SC"/>
          <w:b w:val="0"/>
          <w:i w:val="0"/>
          <w:color w:val="111111"/>
          <w:sz w:val="21"/>
        </w:rPr>
        <w:t>在源事件训练划分上拟合带正则化的上下文逻辑回归模型：</w:t>
      </w:r>
    </w:p>
    <w:p>
      <w:pPr>
        <w:spacing w:before="100" w:after="140"/>
        <w:jc w:val="center"/>
      </w:pPr>
      <w:r>
        <w:rPr>
          <w:rFonts w:ascii="Cambria Math" w:hAnsi="Cambria Math" w:eastAsia="STSong"/>
          <w:b w:val="0"/>
          <w:i w:val="0"/>
          <w:color w:val="111111"/>
          <w:sz w:val="21"/>
        </w:rPr>
        <w:t>pᵢ = P(Yᵢ=1 | Xᵢ) = σ(β₀ + βᵀXᵢ)</w:t>
      </w:r>
      <w:r>
        <w:rPr>
          <w:rFonts w:ascii="Cambria Math" w:hAnsi="Cambria Math" w:eastAsia="PingFang SC"/>
          <w:b w:val="0"/>
          <w:i w:val="0"/>
          <w:color w:val="111111"/>
          <w:sz w:val="20"/>
        </w:rPr>
        <w:t xml:space="preserve">    (6)</w:t>
      </w:r>
    </w:p>
    <w:p>
      <w:pPr>
        <w:keepLines w:val="0"/>
        <w:spacing w:before="0" w:after="140" w:line="312" w:lineRule="auto"/>
        <w:jc w:val="both"/>
      </w:pPr>
      <w:r>
        <w:rPr>
          <w:rFonts w:ascii="Calibri" w:hAnsi="Calibri" w:eastAsia="PingFang SC"/>
          <w:b w:val="0"/>
          <w:i w:val="0"/>
          <w:color w:val="111111"/>
          <w:sz w:val="21"/>
        </w:rPr>
        <w:t>特征覆盖家庭构成、住房区域、交通能力、信息获得方式、年龄和决策角色等共同字段。缺失值仅使用训练划分估计的中位数填补。所得 pᵢ 是连续行为倾向，不是预先指定的撤离或留下标签。对于目标事件适配，仅允许在目标训练集上拟合一个截距 α：</w:t>
      </w:r>
    </w:p>
    <w:p>
      <w:pPr>
        <w:spacing w:before="100" w:after="140"/>
        <w:jc w:val="center"/>
      </w:pPr>
      <w:r>
        <w:rPr>
          <w:rFonts w:ascii="Cambria Math" w:hAnsi="Cambria Math" w:eastAsia="STSong"/>
          <w:b w:val="0"/>
          <w:i w:val="0"/>
          <w:color w:val="111111"/>
          <w:sz w:val="21"/>
        </w:rPr>
        <w:t>p′ᵢ = σ(logit(pᵢ) + α)</w:t>
      </w:r>
      <w:r>
        <w:rPr>
          <w:rFonts w:ascii="Cambria Math" w:hAnsi="Cambria Math" w:eastAsia="PingFang SC"/>
          <w:b w:val="0"/>
          <w:i w:val="0"/>
          <w:color w:val="111111"/>
          <w:sz w:val="20"/>
        </w:rPr>
        <w:t xml:space="preserve">    (7)</w:t>
      </w:r>
    </w:p>
    <w:p>
      <w:pPr>
        <w:keepLines w:val="0"/>
        <w:spacing w:before="0" w:after="140" w:line="312" w:lineRule="auto"/>
        <w:jc w:val="both"/>
      </w:pPr>
      <w:r>
        <w:rPr>
          <w:rFonts w:ascii="Calibri" w:hAnsi="Calibri" w:eastAsia="PingFang SC"/>
          <w:b w:val="0"/>
          <w:i w:val="0"/>
          <w:color w:val="111111"/>
          <w:sz w:val="21"/>
        </w:rPr>
        <w:t>Carr 测试划分不会用于估计 α。该适配器仅修正事件总体基准率；家庭差异仍来自源事件中拟合的斜率。</w:t>
      </w:r>
    </w:p>
    <w:p>
      <w:pPr>
        <w:pStyle w:val="Heading2"/>
        <w:keepNext/>
      </w:pPr>
      <w:r>
        <w:rPr>
          <w:rFonts w:ascii="Calibri" w:hAnsi="Calibri" w:eastAsia="PingFang SC"/>
          <w:b/>
          <w:i w:val="0"/>
          <w:color w:val="2E74B5"/>
          <w:sz w:val="26"/>
        </w:rPr>
        <w:t>4.3 训练集拟合的时间质量</w:t>
      </w:r>
    </w:p>
    <w:p>
      <w:pPr>
        <w:keepLines w:val="0"/>
        <w:spacing w:before="0" w:after="140" w:line="312" w:lineRule="auto"/>
        <w:jc w:val="both"/>
      </w:pPr>
      <w:r>
        <w:rPr>
          <w:rFonts w:ascii="Calibri" w:hAnsi="Calibri" w:eastAsia="PingFang SC"/>
          <w:b w:val="0"/>
          <w:i w:val="0"/>
          <w:color w:val="111111"/>
          <w:sz w:val="21"/>
        </w:rPr>
        <w:t>令 nₜ 为训练集中在时间箱 t 内观察到的撤离数，采用 Jeffreys 平滑得到归一化时间权重：</w:t>
      </w:r>
    </w:p>
    <w:p>
      <w:pPr>
        <w:spacing w:before="100" w:after="140"/>
        <w:jc w:val="center"/>
      </w:pPr>
      <w:r>
        <w:rPr>
          <w:rFonts w:ascii="Cambria Math" w:hAnsi="Cambria Math" w:eastAsia="STSong"/>
          <w:b w:val="0"/>
          <w:i w:val="0"/>
          <w:color w:val="111111"/>
          <w:sz w:val="21"/>
        </w:rPr>
        <w:t>wₜ = (nₜ + 1/2) / Σₖ(nₖ + 1/2)，且 Σₜwₜ = 1</w:t>
      </w:r>
      <w:r>
        <w:rPr>
          <w:rFonts w:ascii="Cambria Math" w:hAnsi="Cambria Math" w:eastAsia="PingFang SC"/>
          <w:b w:val="0"/>
          <w:i w:val="0"/>
          <w:color w:val="111111"/>
          <w:sz w:val="20"/>
        </w:rPr>
        <w:t xml:space="preserve">    (8)</w:t>
      </w:r>
    </w:p>
    <w:p>
      <w:pPr>
        <w:keepLines w:val="0"/>
        <w:spacing w:before="0" w:after="140" w:line="312" w:lineRule="auto"/>
        <w:jc w:val="both"/>
      </w:pPr>
      <w:r>
        <w:rPr>
          <w:rFonts w:ascii="Calibri" w:hAnsi="Calibri" w:eastAsia="PingFang SC"/>
          <w:b w:val="0"/>
          <w:i w:val="0"/>
          <w:color w:val="111111"/>
          <w:sz w:val="21"/>
        </w:rPr>
        <w:t>Irma 的主实验使用 12 小时时间步长；Carr 同时评估 12 小时和 6 小时分辨率。时间权重只表示该事件中撤离质量的相对分布，不表示家庭在该时刻必然撤离。</w:t>
      </w:r>
    </w:p>
    <w:p>
      <w:pPr>
        <w:pStyle w:val="Heading2"/>
        <w:keepNext/>
      </w:pPr>
      <w:r>
        <w:rPr>
          <w:rFonts w:ascii="Calibri" w:hAnsi="Calibri" w:eastAsia="PingFang SC"/>
          <w:b/>
          <w:i w:val="0"/>
          <w:color w:val="2E74B5"/>
          <w:sz w:val="26"/>
        </w:rPr>
        <w:t>4.4 延期时间质量控制器</w:t>
      </w:r>
    </w:p>
    <w:p>
      <w:pPr>
        <w:keepLines w:val="0"/>
        <w:spacing w:before="0" w:after="140" w:line="312" w:lineRule="auto"/>
        <w:jc w:val="both"/>
      </w:pPr>
      <w:r>
        <w:rPr>
          <w:rFonts w:ascii="Calibri" w:hAnsi="Calibri" w:eastAsia="PingFang SC"/>
          <w:b w:val="0"/>
          <w:i w:val="0"/>
          <w:color w:val="111111"/>
          <w:sz w:val="21"/>
        </w:rPr>
        <w:t>只有处于“准备中”或“协调中”的家庭才进入合法撤离前风险集合。令 Lᵢ,ₜ 表示家庭 i 在时刻 t 是否位于该集合，dᵢ,ₜ₋₁ 表示此前因尚未具备合法条件而延期的质量，cᵢ,ₜ₋₁ 表示已经消耗的累计质量。</w:t>
      </w:r>
    </w:p>
    <w:p>
      <w:pPr>
        <w:spacing w:before="100" w:after="140"/>
        <w:jc w:val="center"/>
      </w:pPr>
      <w:r>
        <w:rPr>
          <w:rFonts w:ascii="Cambria Math" w:hAnsi="Cambria Math" w:eastAsia="STSong"/>
          <w:b w:val="0"/>
          <w:i w:val="0"/>
          <w:color w:val="111111"/>
          <w:sz w:val="21"/>
        </w:rPr>
        <w:t>qᵢ,ₜ = { wₜ + dᵢ,ₜ₋₁,  若 Lᵢ,ₜ=1；  0, 若 Lᵢ,ₜ=0 }</w:t>
      </w:r>
      <w:r>
        <w:rPr>
          <w:rFonts w:ascii="Cambria Math" w:hAnsi="Cambria Math" w:eastAsia="PingFang SC"/>
          <w:b w:val="0"/>
          <w:i w:val="0"/>
          <w:color w:val="111111"/>
          <w:sz w:val="20"/>
        </w:rPr>
        <w:t xml:space="preserve">    (9)</w:t>
      </w:r>
    </w:p>
    <w:p>
      <w:pPr>
        <w:spacing w:before="100" w:after="140"/>
        <w:jc w:val="center"/>
      </w:pPr>
      <w:r>
        <w:rPr>
          <w:rFonts w:ascii="Cambria Math" w:hAnsi="Cambria Math" w:eastAsia="STSong"/>
          <w:b w:val="0"/>
          <w:i w:val="0"/>
          <w:color w:val="111111"/>
          <w:sz w:val="21"/>
        </w:rPr>
        <w:t>dᵢ,ₜ = { 0, 若 Lᵢ,ₜ=1； dᵢ,ₜ₋₁+wₜ, 若 Lᵢ,ₜ=0 }</w:t>
      </w:r>
      <w:r>
        <w:rPr>
          <w:rFonts w:ascii="Cambria Math" w:hAnsi="Cambria Math" w:eastAsia="PingFang SC"/>
          <w:b w:val="0"/>
          <w:i w:val="0"/>
          <w:color w:val="111111"/>
          <w:sz w:val="20"/>
        </w:rPr>
        <w:t xml:space="preserve">    (10)</w:t>
      </w:r>
    </w:p>
    <w:p>
      <w:pPr>
        <w:spacing w:before="100" w:after="140"/>
        <w:jc w:val="center"/>
      </w:pPr>
      <w:r>
        <w:rPr>
          <w:rFonts w:ascii="Cambria Math" w:hAnsi="Cambria Math" w:eastAsia="STSong"/>
          <w:b w:val="0"/>
          <w:i w:val="0"/>
          <w:color w:val="111111"/>
          <w:sz w:val="21"/>
        </w:rPr>
        <w:t>cᵢ,ₜ = min(1, cᵢ,ₜ₋₁ + qᵢ,ₜ)</w:t>
      </w:r>
      <w:r>
        <w:rPr>
          <w:rFonts w:ascii="Cambria Math" w:hAnsi="Cambria Math" w:eastAsia="PingFang SC"/>
          <w:b w:val="0"/>
          <w:i w:val="0"/>
          <w:color w:val="111111"/>
          <w:sz w:val="20"/>
        </w:rPr>
        <w:t xml:space="preserve">    (11)</w:t>
      </w:r>
    </w:p>
    <w:p>
      <w:pPr>
        <w:keepLines w:val="0"/>
        <w:spacing w:before="0" w:after="140" w:line="312" w:lineRule="auto"/>
        <w:jc w:val="both"/>
      </w:pPr>
      <w:r>
        <w:rPr>
          <w:rFonts w:ascii="Calibri" w:hAnsi="Calibri" w:eastAsia="PingFang SC"/>
          <w:b w:val="0"/>
          <w:i w:val="0"/>
          <w:color w:val="111111"/>
          <w:sz w:val="21"/>
        </w:rPr>
        <w:t>由此得到用于审计的离散风险：</w:t>
      </w:r>
    </w:p>
    <w:p>
      <w:pPr>
        <w:spacing w:before="100" w:after="140"/>
        <w:jc w:val="center"/>
      </w:pPr>
      <w:r>
        <w:rPr>
          <w:rFonts w:ascii="Cambria Math" w:hAnsi="Cambria Math" w:eastAsia="STSong"/>
          <w:b w:val="0"/>
          <w:i w:val="0"/>
          <w:color w:val="111111"/>
          <w:sz w:val="21"/>
        </w:rPr>
        <w:t>hᵢ,ₜ = pᵢqᵢ,ₜ / (1 − pᵢcᵢ,ₜ₋₁)</w:t>
      </w:r>
      <w:r>
        <w:rPr>
          <w:rFonts w:ascii="Cambria Math" w:hAnsi="Cambria Math" w:eastAsia="PingFang SC"/>
          <w:b w:val="0"/>
          <w:i w:val="0"/>
          <w:color w:val="111111"/>
          <w:sz w:val="20"/>
        </w:rPr>
        <w:t xml:space="preserve">    (12)</w:t>
      </w:r>
    </w:p>
    <w:p>
      <w:pPr>
        <w:keepLines w:val="0"/>
        <w:spacing w:before="0" w:after="140" w:line="312" w:lineRule="auto"/>
        <w:jc w:val="both"/>
      </w:pPr>
      <w:r>
        <w:rPr>
          <w:rFonts w:ascii="Calibri" w:hAnsi="Calibri" w:eastAsia="PingFang SC"/>
          <w:b w:val="0"/>
          <w:i w:val="0"/>
          <w:color w:val="111111"/>
          <w:sz w:val="21"/>
        </w:rPr>
        <w:t>该设计解决了一个关键矛盾：如果家庭尚未完成准备，训练分布中过早到达的撤离质量不会消失，也不会暗中强迫家庭撤离，而是在其进入合法风险集合后继续被消耗。窗口结束时系统不会强制剩余家庭撤离。</w:t>
      </w:r>
    </w:p>
    <w:p>
      <w:pPr>
        <w:pStyle w:val="Heading2"/>
        <w:keepNext/>
      </w:pPr>
      <w:r>
        <w:rPr>
          <w:rFonts w:ascii="Calibri" w:hAnsi="Calibri" w:eastAsia="PingFang SC"/>
          <w:b/>
          <w:i w:val="0"/>
          <w:color w:val="2E74B5"/>
          <w:sz w:val="26"/>
        </w:rPr>
        <w:t>4.5 降低方差的生命周期事件实现</w:t>
      </w:r>
    </w:p>
    <w:p>
      <w:pPr>
        <w:keepLines w:val="0"/>
        <w:spacing w:before="0" w:after="140" w:line="312" w:lineRule="auto"/>
        <w:jc w:val="both"/>
      </w:pPr>
      <w:r>
        <w:rPr>
          <w:rFonts w:ascii="Calibri" w:hAnsi="Calibri" w:eastAsia="PingFang SC"/>
          <w:b w:val="0"/>
          <w:i w:val="0"/>
          <w:color w:val="111111"/>
          <w:sz w:val="21"/>
        </w:rPr>
        <w:t>每个家庭—种子对仅获得一个生命周期抽样值。正式实验使用 K=5 个分层种子，并根据稳定家庭哈希计算偏移 oᵢ∈{0,…,K−1}，再为家庭生成固定抖动 jᵢ∈[0,1)。</w:t>
      </w:r>
    </w:p>
    <w:p>
      <w:pPr>
        <w:spacing w:before="100" w:after="140"/>
        <w:jc w:val="center"/>
      </w:pPr>
      <w:r>
        <w:rPr>
          <w:rFonts w:ascii="Cambria Math" w:hAnsi="Cambria Math" w:eastAsia="STSong"/>
          <w:b w:val="0"/>
          <w:i w:val="0"/>
          <w:color w:val="111111"/>
          <w:sz w:val="21"/>
        </w:rPr>
        <w:t>kᵢ,ₛ = (s + oᵢ) mod K</w:t>
      </w:r>
      <w:r>
        <w:rPr>
          <w:rFonts w:ascii="Cambria Math" w:hAnsi="Cambria Math" w:eastAsia="PingFang SC"/>
          <w:b w:val="0"/>
          <w:i w:val="0"/>
          <w:color w:val="111111"/>
          <w:sz w:val="20"/>
        </w:rPr>
        <w:t xml:space="preserve">    (13)</w:t>
      </w:r>
    </w:p>
    <w:p>
      <w:pPr>
        <w:spacing w:before="100" w:after="140"/>
        <w:jc w:val="center"/>
      </w:pPr>
      <w:r>
        <w:rPr>
          <w:rFonts w:ascii="Cambria Math" w:hAnsi="Cambria Math" w:eastAsia="STSong"/>
          <w:b w:val="0"/>
          <w:i w:val="0"/>
          <w:color w:val="111111"/>
          <w:sz w:val="21"/>
        </w:rPr>
        <w:t>uᵢ,ₛ = (kᵢ,ₛ + jᵢ) / K</w:t>
      </w:r>
      <w:r>
        <w:rPr>
          <w:rFonts w:ascii="Cambria Math" w:hAnsi="Cambria Math" w:eastAsia="PingFang SC"/>
          <w:b w:val="0"/>
          <w:i w:val="0"/>
          <w:color w:val="111111"/>
          <w:sz w:val="20"/>
        </w:rPr>
        <w:t xml:space="preserve">    (14)</w:t>
      </w:r>
    </w:p>
    <w:p>
      <w:pPr>
        <w:keepLines w:val="0"/>
        <w:spacing w:before="0" w:after="140" w:line="312" w:lineRule="auto"/>
        <w:jc w:val="both"/>
      </w:pPr>
      <w:r>
        <w:rPr>
          <w:rFonts w:ascii="Calibri" w:hAnsi="Calibri" w:eastAsia="PingFang SC"/>
          <w:b w:val="0"/>
          <w:i w:val="0"/>
          <w:color w:val="111111"/>
          <w:sz w:val="21"/>
        </w:rPr>
        <w:t>家庭在首个满足 uᵢ,ₛ &lt; pᵢcᵢ,ₜ 且状态合法的时刻撤离。这一五分层设计与拉丁超立方抽样思想一致[12]，在只运行少量种子时减少 Monte Carlo 波动，同时保留随机过程。同一家庭的种子被刻意分布到五个分层中，便于配对比较。</w:t>
      </w:r>
    </w:p>
    <w:p>
      <w:pPr>
        <w:pStyle w:val="Heading2"/>
        <w:keepNext/>
      </w:pPr>
      <w:r>
        <w:rPr>
          <w:rFonts w:ascii="Calibri" w:hAnsi="Calibri" w:eastAsia="PingFang SC"/>
          <w:b/>
          <w:i w:val="0"/>
          <w:color w:val="2E74B5"/>
          <w:sz w:val="26"/>
        </w:rPr>
        <w:t>4.6 持续智能体状态与 PADM 评估</w:t>
      </w:r>
    </w:p>
    <w:p>
      <w:pPr>
        <w:keepLines w:val="0"/>
        <w:spacing w:before="0" w:after="140" w:line="312" w:lineRule="auto"/>
        <w:jc w:val="both"/>
      </w:pPr>
      <w:r>
        <w:rPr>
          <w:rFonts w:ascii="Calibri" w:hAnsi="Calibri" w:eastAsia="PingFang SC"/>
          <w:b w:val="0"/>
          <w:i w:val="0"/>
          <w:color w:val="111111"/>
          <w:sz w:val="21"/>
        </w:rPr>
        <w:t>每个智能体跨时刻保留以下状态：当前阶段、威胁判断、保护行动判断、信息源信任、家庭能力、当前目标、上一动作的执行结果、可选的结构化记忆以及可选的短期计划。主评估配置持续保留合法阶段与 PADM 认知状态；机制消融再分别加入执行反馈、结构化记忆和计划修订。</w:t>
      </w:r>
    </w:p>
    <w:p>
      <w:pPr>
        <w:keepLines w:val="0"/>
        <w:spacing w:before="0" w:after="140" w:line="312" w:lineRule="auto"/>
        <w:jc w:val="both"/>
      </w:pPr>
      <w:r>
        <w:rPr>
          <w:rFonts w:ascii="Calibri" w:hAnsi="Calibri" w:eastAsia="PingFang SC"/>
          <w:b w:val="0"/>
          <w:i w:val="0"/>
          <w:color w:val="111111"/>
          <w:sz w:val="21"/>
        </w:rPr>
        <w:t>结构化记忆把事件转换为带时间戳的条目，只允许检索当前时刻之前的内容，并保存来源、可信度、地理范围和相关性。记忆不是任意对话历史，而是一个因果受限的证据存储。计划状态记录当前目标、依赖、最后修订原因和完成情况。执行器的接受、拒绝或完成结果只有在下一时刻才能反馈给策略。</w:t>
      </w:r>
    </w:p>
    <w:p>
      <w:pPr>
        <w:pStyle w:val="Heading2"/>
        <w:keepNext/>
      </w:pPr>
      <w:r>
        <w:rPr>
          <w:rFonts w:ascii="Calibri" w:hAnsi="Calibri" w:eastAsia="PingFang SC"/>
          <w:b/>
          <w:i w:val="0"/>
          <w:color w:val="2E74B5"/>
          <w:sz w:val="26"/>
        </w:rPr>
        <w:t>4.7 合法动作状态机与执行器</w:t>
      </w:r>
    </w:p>
    <w:p>
      <w:pPr>
        <w:keepLines w:val="0"/>
        <w:spacing w:before="0" w:after="140" w:line="312" w:lineRule="auto"/>
        <w:jc w:val="both"/>
      </w:pPr>
      <w:r>
        <w:rPr>
          <w:rFonts w:ascii="Calibri" w:hAnsi="Calibri" w:eastAsia="PingFang SC"/>
          <w:b w:val="0"/>
          <w:i w:val="0"/>
          <w:color w:val="111111"/>
          <w:sz w:val="21"/>
        </w:rPr>
        <w:t>家庭阶段遵循有限状态过程：未感知 → 监测 → 准备 → 协调 → 撤离；在有限窗口内也可以进入留下状态。每个阶段只有一组合法动作，例如收集信息、准备车辆、协调照护对象、声明准备完成或继续等待。LLM 只能提出动作和准备度，不能绕过控制器强制撤离。执行器检查动作与阶段是否兼容，提交合法转移，并记录接受、拒绝、目标更新和完成结果。</w:t>
      </w:r>
    </w:p>
    <w:p>
      <w:pPr>
        <w:pStyle w:val="Heading2"/>
        <w:keepNext/>
      </w:pPr>
      <w:r>
        <w:rPr>
          <w:rFonts w:ascii="Calibri" w:hAnsi="Calibri" w:eastAsia="PingFang SC"/>
          <w:b/>
          <w:i w:val="0"/>
          <w:color w:val="2E74B5"/>
          <w:sz w:val="26"/>
        </w:rPr>
        <w:t>4.8 同步并发仿真内核</w:t>
      </w:r>
    </w:p>
    <w:p>
      <w:pPr>
        <w:keepLines w:val="0"/>
        <w:spacing w:before="0" w:after="140" w:line="312" w:lineRule="auto"/>
        <w:jc w:val="both"/>
      </w:pPr>
      <w:r>
        <w:rPr>
          <w:rFonts w:ascii="Calibri" w:hAnsi="Calibri" w:eastAsia="PingFang SC"/>
          <w:b w:val="0"/>
          <w:i w:val="0"/>
          <w:color w:val="111111"/>
          <w:sz w:val="21"/>
        </w:rPr>
        <w:t>所有家庭共享同一个模拟时钟。每个时刻依次完成：回放外部事件并投递到期消息；冻结只读世界快照；构造有界观察；并发执行家庭决策；在任何决策影响其他家庭之前等待同步屏障；应用撤离控制器并验证动作；提交状态转移并排队后续消息；写入因果轨迹与有效性审计。正式实验最多并发发起 32 个模型调用。并发只改变真实运行耗时，不改变模拟时间。</w:t>
      </w:r>
    </w:p>
    <w:p>
      <w:r>
        <w:drawing>
          <wp:inline xmlns:a="http://schemas.openxmlformats.org/drawingml/2006/main" xmlns:pic="http://schemas.openxmlformats.org/drawingml/2006/picture">
            <wp:extent cx="5897880" cy="2064258"/>
            <wp:docPr id="2" name="Picture 2" title="家庭智能体决策执行闭环图" descr="家庭智能体决策执行闭环图：已送达证据依次进入有界感知、PADM评估、持续状态和结构化LLM策略，再经延期质量控制器与合法执行器写入轨迹日志并在下一时刻反馈。"/>
            <wp:cNvGraphicFramePr>
              <a:graphicFrameLocks noChangeAspect="1"/>
            </wp:cNvGraphicFramePr>
            <a:graphic>
              <a:graphicData uri="http://schemas.openxmlformats.org/drawingml/2006/picture">
                <pic:pic>
                  <pic:nvPicPr>
                    <pic:cNvPr id="0" name="agent_loop_zh.png"/>
                    <pic:cNvPicPr/>
                  </pic:nvPicPr>
                  <pic:blipFill>
                    <a:blip r:embed="rId12"/>
                    <a:stretch>
                      <a:fillRect/>
                    </a:stretch>
                  </pic:blipFill>
                  <pic:spPr>
                    <a:xfrm>
                      <a:off x="0" y="0"/>
                      <a:ext cx="5897880" cy="2064258"/>
                    </a:xfrm>
                    <a:prstGeom prst="rect"/>
                  </pic:spPr>
                </pic:pic>
              </a:graphicData>
            </a:graphic>
          </wp:inline>
        </w:drawing>
      </w:r>
    </w:p>
    <w:p>
      <w:pPr>
        <w:spacing w:before="60" w:after="180"/>
        <w:jc w:val="center"/>
      </w:pPr>
      <w:r>
        <w:rPr>
          <w:rFonts w:ascii="Calibri" w:hAnsi="Calibri" w:eastAsia="PingFang SC"/>
          <w:b w:val="0"/>
          <w:i w:val="0"/>
          <w:color w:val="6B7280"/>
          <w:sz w:val="18"/>
        </w:rPr>
        <w:t>图2  家庭智能体决策—执行闭环：智能体控制认知、准备和准备度；校准层控制事件实现；执行器保证状态合法。</w:t>
      </w:r>
    </w:p>
    <w:p>
      <w:pPr>
        <w:pStyle w:val="Heading2"/>
        <w:keepNext/>
      </w:pPr>
      <w:r>
        <w:rPr>
          <w:rFonts w:ascii="Calibri" w:hAnsi="Calibri" w:eastAsia="PingFang SC"/>
          <w:b/>
          <w:i w:val="0"/>
          <w:color w:val="2E74B5"/>
          <w:sz w:val="26"/>
        </w:rPr>
        <w:t>4.9 审计与有效性门控</w:t>
      </w:r>
    </w:p>
    <w:p>
      <w:pPr>
        <w:keepLines w:val="0"/>
        <w:spacing w:before="0" w:after="140" w:line="312" w:lineRule="auto"/>
        <w:jc w:val="both"/>
      </w:pPr>
      <w:r>
        <w:rPr>
          <w:rFonts w:ascii="Calibri" w:hAnsi="Calibri" w:eastAsia="PingFang SC"/>
          <w:b w:val="0"/>
          <w:i w:val="0"/>
          <w:color w:val="111111"/>
          <w:sz w:val="21"/>
        </w:rPr>
        <w:t>每次状态转移保存观察、认知前后状态、检索记忆、提议动作、受控动作、执行结果和撤离控制记录。每次模型调用保存提示哈希、随机种子、状态、令牌计数、延迟和缓存状态。输出必须通过结构化模式验证。格式错误允许一次修复；请求失败则使用规则策略并明确记录。若回退率超过 1%、存在缺失输出、未来事件进入观察，或非法状态转移超过预注册容忍度，该运行被判为无效。</w:t>
      </w:r>
    </w:p>
    <w:p>
      <w:pPr>
        <w:pStyle w:val="Heading1"/>
        <w:keepNext/>
      </w:pPr>
      <w:r>
        <w:rPr>
          <w:rFonts w:ascii="Calibri" w:hAnsi="Calibri" w:eastAsia="PingFang SC"/>
          <w:b/>
          <w:i w:val="0"/>
          <w:color w:val="2E74B5"/>
          <w:sz w:val="32"/>
        </w:rPr>
        <w:t>5 实验设计</w:t>
      </w:r>
    </w:p>
    <w:p>
      <w:pPr>
        <w:pStyle w:val="Heading2"/>
        <w:keepNext/>
      </w:pPr>
      <w:r>
        <w:rPr>
          <w:rFonts w:ascii="Calibri" w:hAnsi="Calibri" w:eastAsia="PingFang SC"/>
          <w:b/>
          <w:i w:val="0"/>
          <w:color w:val="2E74B5"/>
          <w:sz w:val="26"/>
        </w:rPr>
        <w:t>5.1 数据与评估队列</w:t>
      </w:r>
    </w:p>
    <w:p>
      <w:pPr>
        <w:keepLines w:val="0"/>
        <w:spacing w:before="0" w:after="140" w:line="312" w:lineRule="auto"/>
        <w:jc w:val="both"/>
      </w:pPr>
      <w:r>
        <w:rPr>
          <w:rFonts w:ascii="Calibri" w:hAnsi="Calibri" w:eastAsia="PingFang SC"/>
          <w:b w:val="0"/>
          <w:i w:val="0"/>
          <w:color w:val="111111"/>
          <w:sz w:val="21"/>
        </w:rPr>
        <w:t>实验包含两个真实灾害事件包。Irma 调查含 1,263 份有效回答和 921 份完成问卷。正式灾害内测试使用与 HEvOD 事件 21 对应的 Brevard County 公共信号队列，共 87 户，其中 42 户撤离、45 户留下。Carr Fire 调查含 647 份有效回答和 335 份完成问卷。正式 Carr 测试队列共 68 户，其中 60 户撤离、8 户留下。Carr 官方事件时间线来自 CAL FIRE。</w:t>
      </w:r>
    </w:p>
    <w:tbl>
      <w:tblPr>
        <w:tblStyle w:val="TableGrid"/>
        <w:tblW w:type="dxa" w:w="9360"/>
        <w:jc w:val="center"/>
        <w:tblLayout w:type="fixed"/>
        <w:tblLook w:firstColumn="1" w:firstRow="1" w:lastColumn="0" w:lastRow="0" w:noHBand="0" w:noVBand="1" w:val="04A0"/>
        <w:tblInd w:w="120" w:type="dxa"/>
      </w:tblPr>
      <w:tblGrid>
        <w:gridCol w:w="3500"/>
        <w:gridCol w:w="2930"/>
        <w:gridCol w:w="2930"/>
      </w:tblGrid>
      <w:tr>
        <w:trPr>
          <w:tblHeader w:val="true"/>
        </w:trPr>
        <w:tc>
          <w:tcPr>
            <w:tcW w:type="dxa" w:w="3500"/>
            <w:shd w:fill="EAF2F8"/>
            <w:vAlign w:val="center"/>
            <w:tcMar>
              <w:top w:w="90" w:type="dxa"/>
              <w:start w:w="120" w:type="dxa"/>
              <w:bottom w:w="90" w:type="dxa"/>
              <w:end w:w="120" w:type="dxa"/>
            </w:tcMar>
          </w:tcPr>
          <w:p>
            <w:pPr>
              <w:spacing w:after="0"/>
              <w:jc w:val="center"/>
            </w:pPr>
            <w:r>
              <w:rPr>
                <w:rFonts w:ascii="Calibri" w:hAnsi="Calibri" w:eastAsia="PingFang SC"/>
                <w:b/>
                <w:i w:val="0"/>
                <w:color w:val="17365D"/>
                <w:sz w:val="17"/>
              </w:rPr>
              <w:t>字段</w:t>
            </w:r>
          </w:p>
        </w:tc>
        <w:tc>
          <w:tcPr>
            <w:tcW w:type="dxa" w:w="2930"/>
            <w:shd w:fill="EAF2F8"/>
            <w:vAlign w:val="center"/>
            <w:tcMar>
              <w:top w:w="90" w:type="dxa"/>
              <w:start w:w="120" w:type="dxa"/>
              <w:bottom w:w="90" w:type="dxa"/>
              <w:end w:w="120" w:type="dxa"/>
            </w:tcMar>
          </w:tcPr>
          <w:p>
            <w:pPr>
              <w:spacing w:after="0"/>
              <w:jc w:val="center"/>
            </w:pPr>
            <w:r>
              <w:rPr>
                <w:rFonts w:ascii="Calibri" w:hAnsi="Calibri" w:eastAsia="PingFang SC"/>
                <w:b/>
                <w:i w:val="0"/>
                <w:color w:val="17365D"/>
                <w:sz w:val="17"/>
              </w:rPr>
              <w:t>Hurricane Irma</w:t>
            </w:r>
          </w:p>
        </w:tc>
        <w:tc>
          <w:tcPr>
            <w:tcW w:type="dxa" w:w="2930"/>
            <w:shd w:fill="EAF2F8"/>
            <w:vAlign w:val="center"/>
            <w:tcMar>
              <w:top w:w="90" w:type="dxa"/>
              <w:start w:w="120" w:type="dxa"/>
              <w:bottom w:w="90" w:type="dxa"/>
              <w:end w:w="120" w:type="dxa"/>
            </w:tcMar>
          </w:tcPr>
          <w:p>
            <w:pPr>
              <w:spacing w:after="0"/>
              <w:jc w:val="center"/>
            </w:pPr>
            <w:r>
              <w:rPr>
                <w:rFonts w:ascii="Calibri" w:hAnsi="Calibri" w:eastAsia="PingFang SC"/>
                <w:b/>
                <w:i w:val="0"/>
                <w:color w:val="17365D"/>
                <w:sz w:val="17"/>
              </w:rPr>
              <w:t>Carr Fire</w:t>
            </w:r>
          </w:p>
        </w:tc>
      </w:tr>
      <w:tr>
        <w:tc>
          <w:tcPr>
            <w:tcW w:type="dxa" w:w="3500"/>
            <w:vAlign w:val="center"/>
            <w:tcMar>
              <w:top w:w="90" w:type="dxa"/>
              <w:start w:w="120" w:type="dxa"/>
              <w:bottom w:w="90" w:type="dxa"/>
              <w:end w:w="120" w:type="dxa"/>
            </w:tcMar>
          </w:tcPr>
          <w:p>
            <w:pPr>
              <w:spacing w:before="0" w:after="0" w:line="259" w:lineRule="auto"/>
              <w:jc w:val="left"/>
            </w:pPr>
            <w:r>
              <w:rPr>
                <w:rFonts w:ascii="Calibri" w:hAnsi="Calibri" w:eastAsia="PingFang SC"/>
                <w:b w:val="0"/>
                <w:i w:val="0"/>
                <w:color w:val="111111"/>
                <w:sz w:val="17"/>
              </w:rPr>
              <w:t>有效原始回答</w:t>
            </w:r>
          </w:p>
        </w:tc>
        <w:tc>
          <w:tcPr>
            <w:tcW w:type="dxa" w:w="2930"/>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7"/>
              </w:rPr>
              <w:t>1,263</w:t>
            </w:r>
          </w:p>
        </w:tc>
        <w:tc>
          <w:tcPr>
            <w:tcW w:type="dxa" w:w="2930"/>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7"/>
              </w:rPr>
              <w:t>647</w:t>
            </w:r>
          </w:p>
        </w:tc>
      </w:tr>
      <w:tr>
        <w:tc>
          <w:tcPr>
            <w:tcW w:type="dxa" w:w="3500"/>
            <w:shd w:fill="F8FAFC"/>
            <w:vAlign w:val="center"/>
            <w:tcMar>
              <w:top w:w="90" w:type="dxa"/>
              <w:start w:w="120" w:type="dxa"/>
              <w:bottom w:w="90" w:type="dxa"/>
              <w:end w:w="120" w:type="dxa"/>
            </w:tcMar>
          </w:tcPr>
          <w:p>
            <w:pPr>
              <w:spacing w:before="0" w:after="0" w:line="259" w:lineRule="auto"/>
              <w:jc w:val="left"/>
            </w:pPr>
            <w:r>
              <w:rPr>
                <w:rFonts w:ascii="Calibri" w:hAnsi="Calibri" w:eastAsia="PingFang SC"/>
                <w:b w:val="0"/>
                <w:i w:val="0"/>
                <w:color w:val="111111"/>
                <w:sz w:val="17"/>
              </w:rPr>
              <w:t>完成问卷</w:t>
            </w:r>
          </w:p>
        </w:tc>
        <w:tc>
          <w:tcPr>
            <w:tcW w:type="dxa" w:w="2930"/>
            <w:shd w:fill="F8FAFC"/>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7"/>
              </w:rPr>
              <w:t>921</w:t>
            </w:r>
          </w:p>
        </w:tc>
        <w:tc>
          <w:tcPr>
            <w:tcW w:type="dxa" w:w="2930"/>
            <w:shd w:fill="F8FAFC"/>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7"/>
              </w:rPr>
              <w:t>335</w:t>
            </w:r>
          </w:p>
        </w:tc>
      </w:tr>
      <w:tr>
        <w:tc>
          <w:tcPr>
            <w:tcW w:type="dxa" w:w="3500"/>
            <w:vAlign w:val="center"/>
            <w:tcMar>
              <w:top w:w="90" w:type="dxa"/>
              <w:start w:w="120" w:type="dxa"/>
              <w:bottom w:w="90" w:type="dxa"/>
              <w:end w:w="120" w:type="dxa"/>
            </w:tcMar>
          </w:tcPr>
          <w:p>
            <w:pPr>
              <w:spacing w:before="0" w:after="0" w:line="259" w:lineRule="auto"/>
              <w:jc w:val="left"/>
            </w:pPr>
            <w:r>
              <w:rPr>
                <w:rFonts w:ascii="Calibri" w:hAnsi="Calibri" w:eastAsia="PingFang SC"/>
                <w:b w:val="0"/>
                <w:i w:val="0"/>
                <w:color w:val="111111"/>
                <w:sz w:val="17"/>
              </w:rPr>
              <w:t>有效撤离/留下结果</w:t>
            </w:r>
          </w:p>
        </w:tc>
        <w:tc>
          <w:tcPr>
            <w:tcW w:type="dxa" w:w="2930"/>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7"/>
              </w:rPr>
              <w:t>917</w:t>
            </w:r>
          </w:p>
        </w:tc>
        <w:tc>
          <w:tcPr>
            <w:tcW w:type="dxa" w:w="2930"/>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7"/>
              </w:rPr>
              <w:t>330</w:t>
            </w:r>
          </w:p>
        </w:tc>
      </w:tr>
      <w:tr>
        <w:tc>
          <w:tcPr>
            <w:tcW w:type="dxa" w:w="3500"/>
            <w:shd w:fill="F8FAFC"/>
            <w:vAlign w:val="center"/>
            <w:tcMar>
              <w:top w:w="90" w:type="dxa"/>
              <w:start w:w="120" w:type="dxa"/>
              <w:bottom w:w="90" w:type="dxa"/>
              <w:end w:w="120" w:type="dxa"/>
            </w:tcMar>
          </w:tcPr>
          <w:p>
            <w:pPr>
              <w:spacing w:before="0" w:after="0" w:line="259" w:lineRule="auto"/>
              <w:jc w:val="left"/>
            </w:pPr>
            <w:r>
              <w:rPr>
                <w:rFonts w:ascii="Calibri" w:hAnsi="Calibri" w:eastAsia="PingFang SC"/>
                <w:b w:val="0"/>
                <w:i w:val="0"/>
                <w:color w:val="111111"/>
                <w:sz w:val="17"/>
              </w:rPr>
              <w:t>完整撤离时间</w:t>
            </w:r>
          </w:p>
        </w:tc>
        <w:tc>
          <w:tcPr>
            <w:tcW w:type="dxa" w:w="2930"/>
            <w:shd w:fill="F8FAFC"/>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7"/>
              </w:rPr>
              <w:t>539</w:t>
            </w:r>
          </w:p>
        </w:tc>
        <w:tc>
          <w:tcPr>
            <w:tcW w:type="dxa" w:w="2930"/>
            <w:shd w:fill="F8FAFC"/>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7"/>
              </w:rPr>
              <w:t>292</w:t>
            </w:r>
          </w:p>
        </w:tc>
      </w:tr>
      <w:tr>
        <w:tc>
          <w:tcPr>
            <w:tcW w:type="dxa" w:w="3500"/>
            <w:vAlign w:val="center"/>
            <w:tcMar>
              <w:top w:w="90" w:type="dxa"/>
              <w:start w:w="120" w:type="dxa"/>
              <w:bottom w:w="90" w:type="dxa"/>
              <w:end w:w="120" w:type="dxa"/>
            </w:tcMar>
          </w:tcPr>
          <w:p>
            <w:pPr>
              <w:spacing w:before="0" w:after="0" w:line="259" w:lineRule="auto"/>
              <w:jc w:val="left"/>
            </w:pPr>
            <w:r>
              <w:rPr>
                <w:rFonts w:ascii="Calibri" w:hAnsi="Calibri" w:eastAsia="PingFang SC"/>
                <w:b w:val="0"/>
                <w:i w:val="0"/>
                <w:color w:val="111111"/>
                <w:sz w:val="17"/>
              </w:rPr>
              <w:t>正式测试家庭</w:t>
            </w:r>
          </w:p>
        </w:tc>
        <w:tc>
          <w:tcPr>
            <w:tcW w:type="dxa" w:w="2930"/>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7"/>
              </w:rPr>
              <w:t>87</w:t>
            </w:r>
          </w:p>
        </w:tc>
        <w:tc>
          <w:tcPr>
            <w:tcW w:type="dxa" w:w="2930"/>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7"/>
              </w:rPr>
              <w:t>68</w:t>
            </w:r>
          </w:p>
        </w:tc>
      </w:tr>
      <w:tr>
        <w:tc>
          <w:tcPr>
            <w:tcW w:type="dxa" w:w="3500"/>
            <w:shd w:fill="F8FAFC"/>
            <w:vAlign w:val="center"/>
            <w:tcMar>
              <w:top w:w="90" w:type="dxa"/>
              <w:start w:w="120" w:type="dxa"/>
              <w:bottom w:w="90" w:type="dxa"/>
              <w:end w:w="120" w:type="dxa"/>
            </w:tcMar>
          </w:tcPr>
          <w:p>
            <w:pPr>
              <w:spacing w:before="0" w:after="0" w:line="259" w:lineRule="auto"/>
              <w:jc w:val="left"/>
            </w:pPr>
            <w:r>
              <w:rPr>
                <w:rFonts w:ascii="Calibri" w:hAnsi="Calibri" w:eastAsia="PingFang SC"/>
                <w:b w:val="0"/>
                <w:i w:val="0"/>
                <w:color w:val="111111"/>
                <w:sz w:val="17"/>
              </w:rPr>
              <w:t>测试集撤离</w:t>
            </w:r>
          </w:p>
        </w:tc>
        <w:tc>
          <w:tcPr>
            <w:tcW w:type="dxa" w:w="2930"/>
            <w:shd w:fill="F8FAFC"/>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7"/>
              </w:rPr>
              <w:t>42</w:t>
            </w:r>
          </w:p>
        </w:tc>
        <w:tc>
          <w:tcPr>
            <w:tcW w:type="dxa" w:w="2930"/>
            <w:shd w:fill="F8FAFC"/>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7"/>
              </w:rPr>
              <w:t>60</w:t>
            </w:r>
          </w:p>
        </w:tc>
      </w:tr>
      <w:tr>
        <w:tc>
          <w:tcPr>
            <w:tcW w:type="dxa" w:w="3500"/>
            <w:vAlign w:val="center"/>
            <w:tcMar>
              <w:top w:w="90" w:type="dxa"/>
              <w:start w:w="120" w:type="dxa"/>
              <w:bottom w:w="90" w:type="dxa"/>
              <w:end w:w="120" w:type="dxa"/>
            </w:tcMar>
          </w:tcPr>
          <w:p>
            <w:pPr>
              <w:spacing w:before="0" w:after="0" w:line="259" w:lineRule="auto"/>
              <w:jc w:val="left"/>
            </w:pPr>
            <w:r>
              <w:rPr>
                <w:rFonts w:ascii="Calibri" w:hAnsi="Calibri" w:eastAsia="PingFang SC"/>
                <w:b w:val="0"/>
                <w:i w:val="0"/>
                <w:color w:val="111111"/>
                <w:sz w:val="17"/>
              </w:rPr>
              <w:t>测试集留下</w:t>
            </w:r>
          </w:p>
        </w:tc>
        <w:tc>
          <w:tcPr>
            <w:tcW w:type="dxa" w:w="2930"/>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7"/>
              </w:rPr>
              <w:t>45</w:t>
            </w:r>
          </w:p>
        </w:tc>
        <w:tc>
          <w:tcPr>
            <w:tcW w:type="dxa" w:w="2930"/>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7"/>
              </w:rPr>
              <w:t>8</w:t>
            </w:r>
          </w:p>
        </w:tc>
      </w:tr>
      <w:tr>
        <w:tc>
          <w:tcPr>
            <w:tcW w:type="dxa" w:w="3500"/>
            <w:shd w:fill="F8FAFC"/>
            <w:vAlign w:val="center"/>
            <w:tcMar>
              <w:top w:w="90" w:type="dxa"/>
              <w:start w:w="120" w:type="dxa"/>
              <w:bottom w:w="90" w:type="dxa"/>
              <w:end w:w="120" w:type="dxa"/>
            </w:tcMar>
          </w:tcPr>
          <w:p>
            <w:pPr>
              <w:spacing w:before="0" w:after="0" w:line="259" w:lineRule="auto"/>
              <w:jc w:val="left"/>
            </w:pPr>
            <w:r>
              <w:rPr>
                <w:rFonts w:ascii="Calibri" w:hAnsi="Calibri" w:eastAsia="PingFang SC"/>
                <w:b w:val="0"/>
                <w:i w:val="0"/>
                <w:color w:val="111111"/>
                <w:sz w:val="17"/>
              </w:rPr>
              <w:t>外部事件来源</w:t>
            </w:r>
          </w:p>
        </w:tc>
        <w:tc>
          <w:tcPr>
            <w:tcW w:type="dxa" w:w="2930"/>
            <w:shd w:fill="F8FAFC"/>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7"/>
              </w:rPr>
              <w:t>HEvOD</w:t>
            </w:r>
          </w:p>
        </w:tc>
        <w:tc>
          <w:tcPr>
            <w:tcW w:type="dxa" w:w="2930"/>
            <w:shd w:fill="F8FAFC"/>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7"/>
              </w:rPr>
              <w:t>CAL FIRE</w:t>
            </w:r>
          </w:p>
        </w:tc>
      </w:tr>
    </w:tbl>
    <w:p>
      <w:pPr>
        <w:spacing w:after="60"/>
      </w:pPr>
    </w:p>
    <w:p>
      <w:pPr>
        <w:spacing w:before="60" w:after="180"/>
        <w:jc w:val="center"/>
      </w:pPr>
      <w:r>
        <w:rPr>
          <w:rFonts w:ascii="Calibri" w:hAnsi="Calibri" w:eastAsia="PingFang SC"/>
          <w:b w:val="0"/>
          <w:i w:val="0"/>
          <w:color w:val="6B7280"/>
          <w:sz w:val="18"/>
        </w:rPr>
        <w:t>表1  数据集与评估队列</w:t>
      </w:r>
    </w:p>
    <w:p>
      <w:pPr>
        <w:keepLines w:val="0"/>
        <w:spacing w:before="0" w:after="140" w:line="312" w:lineRule="auto"/>
        <w:jc w:val="both"/>
      </w:pPr>
      <w:r>
        <w:rPr>
          <w:rFonts w:ascii="Calibri" w:hAnsi="Calibri" w:eastAsia="PingFang SC"/>
          <w:b w:val="0"/>
          <w:i w:val="0"/>
          <w:color w:val="111111"/>
          <w:sz w:val="21"/>
        </w:rPr>
        <w:t>两个调查均为便利样本，因此本文报告的是“以调查样本为条件的行为重建”，而不是县级或州级人口估计。数据不包含精确受访者位置、真实社会关系、GPS 路径和道路链路级交通测量。</w:t>
      </w:r>
    </w:p>
    <w:p>
      <w:pPr>
        <w:pStyle w:val="Heading2"/>
        <w:keepNext/>
      </w:pPr>
      <w:r>
        <w:rPr>
          <w:rFonts w:ascii="Calibri" w:hAnsi="Calibri" w:eastAsia="PingFang SC"/>
          <w:b/>
          <w:i w:val="0"/>
          <w:color w:val="2E74B5"/>
          <w:sz w:val="26"/>
        </w:rPr>
        <w:t>5.2 数据划分、泄漏控制与方法冻结</w:t>
      </w:r>
    </w:p>
    <w:p>
      <w:pPr>
        <w:keepLines w:val="0"/>
        <w:spacing w:before="0" w:after="140" w:line="312" w:lineRule="auto"/>
        <w:jc w:val="both"/>
      </w:pPr>
      <w:r>
        <w:rPr>
          <w:rFonts w:ascii="Calibri" w:hAnsi="Calibri" w:eastAsia="PingFang SC"/>
          <w:b w:val="0"/>
          <w:i w:val="0"/>
          <w:color w:val="111111"/>
          <w:sz w:val="21"/>
        </w:rPr>
        <w:t>每个事件包使用随机种子 42 进行家庭分层划分；同一受访者衍生的记录必须处于同一划分。调查结果、撤离时间和决策后字段被标记为目标或诊断，不能进入策略提示。Irma 训练划分用于拟合上下文倾向与时间权重；控制器和持续状态配置在生成 Irma 测试摘要之前冻结。</w:t>
      </w:r>
    </w:p>
    <w:p>
      <w:pPr>
        <w:keepLines w:val="0"/>
        <w:spacing w:before="0" w:after="140" w:line="312" w:lineRule="auto"/>
        <w:jc w:val="both"/>
      </w:pPr>
      <w:r>
        <w:rPr>
          <w:rFonts w:ascii="Calibri" w:hAnsi="Calibri" w:eastAsia="PingFang SC"/>
          <w:b w:val="0"/>
          <w:i w:val="0"/>
          <w:color w:val="111111"/>
          <w:sz w:val="21"/>
        </w:rPr>
        <w:t>由于项目早期曾查看 Carr 数据，本文不把 Carr 称为完全未接触的外部验证，而称为“方法冻结后的回顾性跨灾种确认”。冻结条件完全使用 Irma 的倾向与时间组件，不使用 Carr 标签。另设目标训练鲁棒性条件，只在 Carr 训练集上拟合截距和时间权重，绝不使用 Carr 测试标签。</w:t>
      </w:r>
    </w:p>
    <w:p>
      <w:pPr>
        <w:pStyle w:val="Heading2"/>
        <w:keepNext/>
      </w:pPr>
      <w:r>
        <w:rPr>
          <w:rFonts w:ascii="Calibri" w:hAnsi="Calibri" w:eastAsia="PingFang SC"/>
          <w:b/>
          <w:i w:val="0"/>
          <w:color w:val="2E74B5"/>
          <w:sz w:val="26"/>
        </w:rPr>
        <w:t>5.3 基线与机制消融</w:t>
      </w:r>
    </w:p>
    <w:p>
      <w:pPr>
        <w:keepLines w:val="0"/>
        <w:spacing w:before="0" w:after="140" w:line="312" w:lineRule="auto"/>
        <w:jc w:val="both"/>
      </w:pPr>
      <w:r>
        <w:rPr>
          <w:rFonts w:ascii="Calibri" w:hAnsi="Calibri" w:eastAsia="PingFang SC"/>
          <w:b w:val="0"/>
          <w:i w:val="0"/>
          <w:color w:val="111111"/>
          <w:sz w:val="21"/>
        </w:rPr>
        <w:t>Irma 灾害内比较包括五类方法：正则化逻辑回归结果模型、使用统一家庭特征的上下文倾向模型、非 LLM 的 PADM 规则智能体模型、一次性无状态 LLM，以及本文的总体校准持续过程。所有 LLM 实验使用 deepseek-v4-flash、温度 0.2、结构化 JSON 输出和注册种子 41—45。</w:t>
      </w:r>
    </w:p>
    <w:p>
      <w:pPr>
        <w:keepLines w:val="0"/>
        <w:spacing w:before="0" w:after="140" w:line="312" w:lineRule="auto"/>
        <w:jc w:val="both"/>
      </w:pPr>
      <w:r>
        <w:rPr>
          <w:rFonts w:ascii="Calibri" w:hAnsi="Calibri" w:eastAsia="PingFang SC"/>
          <w:b w:val="0"/>
          <w:i w:val="0"/>
          <w:color w:val="111111"/>
          <w:sz w:val="21"/>
        </w:rPr>
        <w:t>机制消融使用固定的 30 户 Irma 子集和四个累积配置：无状态、仅持续状态、持续状态加执行反馈、以及加入结构化记忆和计划修订的完整持续配置。每个配置使用五个配对种子。该设计检验具名模块是否真正改变经验结果，而不会把“系统里存在某模块”直接当作贡献。</w:t>
      </w:r>
    </w:p>
    <w:p>
      <w:pPr>
        <w:pStyle w:val="Heading2"/>
        <w:keepNext/>
      </w:pPr>
      <w:r>
        <w:rPr>
          <w:rFonts w:ascii="Calibri" w:hAnsi="Calibri" w:eastAsia="PingFang SC"/>
          <w:b/>
          <w:i w:val="0"/>
          <w:color w:val="2E74B5"/>
          <w:sz w:val="26"/>
        </w:rPr>
        <w:t>5.4 指标与不确定性</w:t>
      </w:r>
    </w:p>
    <w:p>
      <w:pPr>
        <w:keepLines w:val="0"/>
        <w:spacing w:before="0" w:after="140" w:line="312" w:lineRule="auto"/>
        <w:jc w:val="both"/>
      </w:pPr>
      <w:r>
        <w:rPr>
          <w:rFonts w:ascii="Calibri" w:hAnsi="Calibri" w:eastAsia="PingFang SC"/>
          <w:b w:val="0"/>
          <w:i w:val="0"/>
          <w:color w:val="111111"/>
          <w:sz w:val="21"/>
        </w:rPr>
        <w:t>结果指标包括 Macro-F1、平衡准确率、Brier 分数、期望校准误差（ECE）以及总体撤离比例绝对误差。五种子集成概率等于某家庭在五个种子中实现撤离的频率。撤离时间指标包括以小时计的 Wasserstein-1 距离、经验累积分布函数积分绝对误差（CDF IAE）和平均时间绝对误差。过程指标包括非法转移率、未来证据数、回退率、PADM 证据响应、来源评估覆盖率、准备—执行诊断、重复动作、反馈响应和计划修订。家庭层效应使用 10,000 次配对自助抽样；时间适配效应使用配对种子统计。若 95% 区间跨越零，则无论点估计方向如何，均判为结论不确定。</w:t>
      </w:r>
    </w:p>
    <w:p>
      <w:pPr>
        <w:pStyle w:val="Heading2"/>
        <w:keepNext/>
      </w:pPr>
      <w:r>
        <w:rPr>
          <w:rFonts w:ascii="Calibri" w:hAnsi="Calibri" w:eastAsia="PingFang SC"/>
          <w:b/>
          <w:i w:val="0"/>
          <w:color w:val="2E74B5"/>
          <w:sz w:val="26"/>
        </w:rPr>
        <w:t>5.5 经验评估结构</w:t>
      </w:r>
    </w:p>
    <w:tbl>
      <w:tblPr>
        <w:tblStyle w:val="TableGrid"/>
        <w:tblW w:type="dxa" w:w="9360"/>
        <w:jc w:val="center"/>
        <w:tblLayout w:type="fixed"/>
        <w:tblLook w:firstColumn="1" w:firstRow="1" w:lastColumn="0" w:lastRow="0" w:noHBand="0" w:noVBand="1" w:val="04A0"/>
        <w:tblInd w:w="120" w:type="dxa"/>
      </w:tblPr>
      <w:tblGrid>
        <w:gridCol w:w="2600"/>
        <w:gridCol w:w="6760"/>
      </w:tblGrid>
      <w:tr>
        <w:trPr>
          <w:tblHeader w:val="true"/>
        </w:trPr>
        <w:tc>
          <w:tcPr>
            <w:tcW w:type="dxa" w:w="2600"/>
            <w:shd w:fill="EAF2F8"/>
            <w:vAlign w:val="center"/>
            <w:tcMar>
              <w:top w:w="90" w:type="dxa"/>
              <w:start w:w="120" w:type="dxa"/>
              <w:bottom w:w="90" w:type="dxa"/>
              <w:end w:w="120" w:type="dxa"/>
            </w:tcMar>
          </w:tcPr>
          <w:p>
            <w:pPr>
              <w:spacing w:after="0"/>
              <w:jc w:val="center"/>
            </w:pPr>
            <w:r>
              <w:rPr>
                <w:rFonts w:ascii="Calibri" w:hAnsi="Calibri" w:eastAsia="PingFang SC"/>
                <w:b/>
                <w:i w:val="0"/>
                <w:color w:val="17365D"/>
                <w:sz w:val="17"/>
              </w:rPr>
              <w:t>评估组成</w:t>
            </w:r>
          </w:p>
        </w:tc>
        <w:tc>
          <w:tcPr>
            <w:tcW w:type="dxa" w:w="6760"/>
            <w:shd w:fill="EAF2F8"/>
            <w:vAlign w:val="center"/>
            <w:tcMar>
              <w:top w:w="90" w:type="dxa"/>
              <w:start w:w="120" w:type="dxa"/>
              <w:bottom w:w="90" w:type="dxa"/>
              <w:end w:w="120" w:type="dxa"/>
            </w:tcMar>
          </w:tcPr>
          <w:p>
            <w:pPr>
              <w:spacing w:after="0"/>
              <w:jc w:val="center"/>
            </w:pPr>
            <w:r>
              <w:rPr>
                <w:rFonts w:ascii="Calibri" w:hAnsi="Calibri" w:eastAsia="PingFang SC"/>
                <w:b/>
                <w:i w:val="0"/>
                <w:color w:val="17365D"/>
                <w:sz w:val="17"/>
              </w:rPr>
              <w:t>经验目的</w:t>
            </w:r>
          </w:p>
        </w:tc>
      </w:tr>
      <w:tr>
        <w:tc>
          <w:tcPr>
            <w:tcW w:type="dxa" w:w="2600"/>
            <w:vAlign w:val="center"/>
            <w:tcMar>
              <w:top w:w="90" w:type="dxa"/>
              <w:start w:w="120" w:type="dxa"/>
              <w:bottom w:w="90" w:type="dxa"/>
              <w:end w:w="120" w:type="dxa"/>
            </w:tcMar>
          </w:tcPr>
          <w:p>
            <w:pPr>
              <w:spacing w:before="0" w:after="0" w:line="259" w:lineRule="auto"/>
              <w:jc w:val="left"/>
            </w:pPr>
            <w:r>
              <w:rPr>
                <w:rFonts w:ascii="Calibri" w:hAnsi="Calibri" w:eastAsia="PingFang SC"/>
                <w:b w:val="0"/>
                <w:i w:val="0"/>
                <w:color w:val="111111"/>
                <w:sz w:val="17"/>
              </w:rPr>
              <w:t>数据有效性</w:t>
            </w:r>
          </w:p>
        </w:tc>
        <w:tc>
          <w:tcPr>
            <w:tcW w:type="dxa" w:w="6760"/>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7"/>
              </w:rPr>
              <w:t>检查字段模式、来源、划分与信息泄漏</w:t>
            </w:r>
          </w:p>
        </w:tc>
      </w:tr>
      <w:tr>
        <w:tc>
          <w:tcPr>
            <w:tcW w:type="dxa" w:w="2600"/>
            <w:shd w:fill="F8FAFC"/>
            <w:vAlign w:val="center"/>
            <w:tcMar>
              <w:top w:w="90" w:type="dxa"/>
              <w:start w:w="120" w:type="dxa"/>
              <w:bottom w:w="90" w:type="dxa"/>
              <w:end w:w="120" w:type="dxa"/>
            </w:tcMar>
          </w:tcPr>
          <w:p>
            <w:pPr>
              <w:spacing w:before="0" w:after="0" w:line="259" w:lineRule="auto"/>
              <w:jc w:val="left"/>
            </w:pPr>
            <w:r>
              <w:rPr>
                <w:rFonts w:ascii="Calibri" w:hAnsi="Calibri" w:eastAsia="PingFang SC"/>
                <w:b w:val="0"/>
                <w:i w:val="0"/>
                <w:color w:val="111111"/>
                <w:sz w:val="17"/>
              </w:rPr>
              <w:t>Irma 灾害内重建</w:t>
            </w:r>
          </w:p>
        </w:tc>
        <w:tc>
          <w:tcPr>
            <w:tcW w:type="dxa" w:w="6760"/>
            <w:shd w:fill="F8FAFC"/>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7"/>
              </w:rPr>
              <w:t>评估结果分布与撤离时间</w:t>
            </w:r>
          </w:p>
        </w:tc>
      </w:tr>
      <w:tr>
        <w:tc>
          <w:tcPr>
            <w:tcW w:type="dxa" w:w="2600"/>
            <w:vAlign w:val="center"/>
            <w:tcMar>
              <w:top w:w="90" w:type="dxa"/>
              <w:start w:w="120" w:type="dxa"/>
              <w:bottom w:w="90" w:type="dxa"/>
              <w:end w:w="120" w:type="dxa"/>
            </w:tcMar>
          </w:tcPr>
          <w:p>
            <w:pPr>
              <w:spacing w:before="0" w:after="0" w:line="259" w:lineRule="auto"/>
              <w:jc w:val="left"/>
            </w:pPr>
            <w:r>
              <w:rPr>
                <w:rFonts w:ascii="Calibri" w:hAnsi="Calibri" w:eastAsia="PingFang SC"/>
                <w:b w:val="0"/>
                <w:i w:val="0"/>
                <w:color w:val="111111"/>
                <w:sz w:val="17"/>
              </w:rPr>
              <w:t>机制消融</w:t>
            </w:r>
          </w:p>
        </w:tc>
        <w:tc>
          <w:tcPr>
            <w:tcW w:type="dxa" w:w="6760"/>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7"/>
              </w:rPr>
              <w:t>检验持续状态、反馈、记忆与规划</w:t>
            </w:r>
          </w:p>
        </w:tc>
      </w:tr>
      <w:tr>
        <w:tc>
          <w:tcPr>
            <w:tcW w:type="dxa" w:w="2600"/>
            <w:shd w:fill="F8FAFC"/>
            <w:vAlign w:val="center"/>
            <w:tcMar>
              <w:top w:w="90" w:type="dxa"/>
              <w:start w:w="120" w:type="dxa"/>
              <w:bottom w:w="90" w:type="dxa"/>
              <w:end w:w="120" w:type="dxa"/>
            </w:tcMar>
          </w:tcPr>
          <w:p>
            <w:pPr>
              <w:spacing w:before="0" w:after="0" w:line="259" w:lineRule="auto"/>
              <w:jc w:val="left"/>
            </w:pPr>
            <w:r>
              <w:rPr>
                <w:rFonts w:ascii="Calibri" w:hAnsi="Calibri" w:eastAsia="PingFang SC"/>
                <w:b w:val="0"/>
                <w:i w:val="0"/>
                <w:color w:val="111111"/>
                <w:sz w:val="17"/>
              </w:rPr>
              <w:t>冻结跨灾种迁移</w:t>
            </w:r>
          </w:p>
        </w:tc>
        <w:tc>
          <w:tcPr>
            <w:tcW w:type="dxa" w:w="6760"/>
            <w:shd w:fill="F8FAFC"/>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7"/>
              </w:rPr>
              <w:t>进行 Irma 到 Carr 的回顾性确认</w:t>
            </w:r>
          </w:p>
        </w:tc>
      </w:tr>
      <w:tr>
        <w:tc>
          <w:tcPr>
            <w:tcW w:type="dxa" w:w="2600"/>
            <w:vAlign w:val="center"/>
            <w:tcMar>
              <w:top w:w="90" w:type="dxa"/>
              <w:start w:w="120" w:type="dxa"/>
              <w:bottom w:w="90" w:type="dxa"/>
              <w:end w:w="120" w:type="dxa"/>
            </w:tcMar>
          </w:tcPr>
          <w:p>
            <w:pPr>
              <w:spacing w:before="0" w:after="0" w:line="259" w:lineRule="auto"/>
              <w:jc w:val="left"/>
            </w:pPr>
            <w:r>
              <w:rPr>
                <w:rFonts w:ascii="Calibri" w:hAnsi="Calibri" w:eastAsia="PingFang SC"/>
                <w:b w:val="0"/>
                <w:i w:val="0"/>
                <w:color w:val="111111"/>
                <w:sz w:val="17"/>
              </w:rPr>
              <w:t>目标训练鲁棒性</w:t>
            </w:r>
          </w:p>
        </w:tc>
        <w:tc>
          <w:tcPr>
            <w:tcW w:type="dxa" w:w="6760"/>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7"/>
              </w:rPr>
              <w:t>评估 Carr 截距、时间与分辨率适配</w:t>
            </w:r>
          </w:p>
        </w:tc>
      </w:tr>
      <w:tr>
        <w:tc>
          <w:tcPr>
            <w:tcW w:type="dxa" w:w="2600"/>
            <w:shd w:fill="F8FAFC"/>
            <w:vAlign w:val="center"/>
            <w:tcMar>
              <w:top w:w="90" w:type="dxa"/>
              <w:start w:w="120" w:type="dxa"/>
              <w:bottom w:w="90" w:type="dxa"/>
              <w:end w:w="120" w:type="dxa"/>
            </w:tcMar>
          </w:tcPr>
          <w:p>
            <w:pPr>
              <w:spacing w:before="0" w:after="0" w:line="259" w:lineRule="auto"/>
              <w:jc w:val="left"/>
            </w:pPr>
            <w:r>
              <w:rPr>
                <w:rFonts w:ascii="Calibri" w:hAnsi="Calibri" w:eastAsia="PingFang SC"/>
                <w:b w:val="0"/>
                <w:i w:val="0"/>
                <w:color w:val="111111"/>
                <w:sz w:val="17"/>
              </w:rPr>
              <w:t>过程有效性</w:t>
            </w:r>
          </w:p>
        </w:tc>
        <w:tc>
          <w:tcPr>
            <w:tcW w:type="dxa" w:w="6760"/>
            <w:shd w:fill="F8FAFC"/>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7"/>
              </w:rPr>
              <w:t>检查状态序列合法性与信息因果性</w:t>
            </w:r>
          </w:p>
        </w:tc>
      </w:tr>
    </w:tbl>
    <w:p>
      <w:pPr>
        <w:spacing w:after="60"/>
      </w:pPr>
    </w:p>
    <w:p>
      <w:pPr>
        <w:spacing w:before="60" w:after="180"/>
        <w:jc w:val="center"/>
      </w:pPr>
      <w:r>
        <w:rPr>
          <w:rFonts w:ascii="Calibri" w:hAnsi="Calibri" w:eastAsia="PingFang SC"/>
          <w:b w:val="0"/>
          <w:i w:val="0"/>
          <w:color w:val="6B7280"/>
          <w:sz w:val="18"/>
        </w:rPr>
        <w:t>表2  论文中实际报告的评估组成</w:t>
      </w:r>
    </w:p>
    <w:p>
      <w:pPr>
        <w:pStyle w:val="Heading1"/>
        <w:keepNext/>
      </w:pPr>
      <w:r>
        <w:rPr>
          <w:rFonts w:ascii="Calibri" w:hAnsi="Calibri" w:eastAsia="PingFang SC"/>
          <w:b/>
          <w:i w:val="0"/>
          <w:color w:val="2E74B5"/>
          <w:sz w:val="32"/>
        </w:rPr>
        <w:t>6 实验结果</w:t>
      </w:r>
    </w:p>
    <w:p>
      <w:pPr>
        <w:pStyle w:val="Heading2"/>
        <w:keepNext/>
      </w:pPr>
      <w:r>
        <w:rPr>
          <w:rFonts w:ascii="Calibri" w:hAnsi="Calibri" w:eastAsia="PingFang SC"/>
          <w:b/>
          <w:i w:val="0"/>
          <w:color w:val="2E74B5"/>
          <w:sz w:val="26"/>
        </w:rPr>
        <w:t>6.1 Irma 灾害内行为重建</w:t>
      </w:r>
    </w:p>
    <w:tbl>
      <w:tblPr>
        <w:tblStyle w:val="TableGrid"/>
        <w:tblW w:type="dxa" w:w="9360"/>
        <w:jc w:val="center"/>
        <w:tblLayout w:type="fixed"/>
        <w:tblLook w:firstColumn="1" w:firstRow="1" w:lastColumn="0" w:lastRow="0" w:noHBand="0" w:noVBand="1" w:val="04A0"/>
        <w:tblInd w:w="120" w:type="dxa"/>
      </w:tblPr>
      <w:tblGrid>
        <w:gridCol w:w="2740"/>
        <w:gridCol w:w="700"/>
        <w:gridCol w:w="1180"/>
        <w:gridCol w:w="1330"/>
        <w:gridCol w:w="1050"/>
        <w:gridCol w:w="950"/>
        <w:gridCol w:w="1410"/>
      </w:tblGrid>
      <w:tr>
        <w:trPr>
          <w:tblHeader w:val="true"/>
        </w:trPr>
        <w:tc>
          <w:tcPr>
            <w:tcW w:type="dxa" w:w="2740"/>
            <w:shd w:fill="EAF2F8"/>
            <w:vAlign w:val="center"/>
            <w:tcMar>
              <w:top w:w="90" w:type="dxa"/>
              <w:start w:w="120" w:type="dxa"/>
              <w:bottom w:w="90" w:type="dxa"/>
              <w:end w:w="120" w:type="dxa"/>
            </w:tcMar>
          </w:tcPr>
          <w:p>
            <w:pPr>
              <w:spacing w:after="0"/>
              <w:jc w:val="center"/>
            </w:pPr>
            <w:r>
              <w:rPr>
                <w:rFonts w:ascii="Calibri" w:hAnsi="Calibri" w:eastAsia="PingFang SC"/>
                <w:b/>
                <w:i w:val="0"/>
                <w:color w:val="17365D"/>
                <w:sz w:val="16"/>
              </w:rPr>
              <w:t>方法</w:t>
            </w:r>
          </w:p>
        </w:tc>
        <w:tc>
          <w:tcPr>
            <w:tcW w:type="dxa" w:w="700"/>
            <w:shd w:fill="EAF2F8"/>
            <w:vAlign w:val="center"/>
            <w:tcMar>
              <w:top w:w="90" w:type="dxa"/>
              <w:start w:w="120" w:type="dxa"/>
              <w:bottom w:w="90" w:type="dxa"/>
              <w:end w:w="120" w:type="dxa"/>
            </w:tcMar>
          </w:tcPr>
          <w:p>
            <w:pPr>
              <w:spacing w:after="0"/>
              <w:jc w:val="center"/>
            </w:pPr>
            <w:r>
              <w:rPr>
                <w:rFonts w:ascii="Calibri" w:hAnsi="Calibri" w:eastAsia="PingFang SC"/>
                <w:b/>
                <w:i w:val="0"/>
                <w:color w:val="17365D"/>
                <w:sz w:val="16"/>
              </w:rPr>
              <w:t>运行数</w:t>
            </w:r>
          </w:p>
        </w:tc>
        <w:tc>
          <w:tcPr>
            <w:tcW w:type="dxa" w:w="1180"/>
            <w:shd w:fill="EAF2F8"/>
            <w:vAlign w:val="center"/>
            <w:tcMar>
              <w:top w:w="90" w:type="dxa"/>
              <w:start w:w="120" w:type="dxa"/>
              <w:bottom w:w="90" w:type="dxa"/>
              <w:end w:w="120" w:type="dxa"/>
            </w:tcMar>
          </w:tcPr>
          <w:p>
            <w:pPr>
              <w:spacing w:after="0"/>
              <w:jc w:val="center"/>
            </w:pPr>
            <w:r>
              <w:rPr>
                <w:rFonts w:ascii="Calibri" w:hAnsi="Calibri" w:eastAsia="PingFang SC"/>
                <w:b/>
                <w:i w:val="0"/>
                <w:color w:val="17365D"/>
                <w:sz w:val="16"/>
              </w:rPr>
              <w:t>Macro-F1</w:t>
            </w:r>
          </w:p>
        </w:tc>
        <w:tc>
          <w:tcPr>
            <w:tcW w:type="dxa" w:w="1330"/>
            <w:shd w:fill="EAF2F8"/>
            <w:vAlign w:val="center"/>
            <w:tcMar>
              <w:top w:w="90" w:type="dxa"/>
              <w:start w:w="120" w:type="dxa"/>
              <w:bottom w:w="90" w:type="dxa"/>
              <w:end w:w="120" w:type="dxa"/>
            </w:tcMar>
          </w:tcPr>
          <w:p>
            <w:pPr>
              <w:spacing w:after="0"/>
              <w:jc w:val="center"/>
            </w:pPr>
            <w:r>
              <w:rPr>
                <w:rFonts w:ascii="Calibri" w:hAnsi="Calibri" w:eastAsia="PingFang SC"/>
                <w:b/>
                <w:i w:val="0"/>
                <w:color w:val="17365D"/>
                <w:sz w:val="16"/>
              </w:rPr>
              <w:t>平衡准确率</w:t>
            </w:r>
          </w:p>
        </w:tc>
        <w:tc>
          <w:tcPr>
            <w:tcW w:type="dxa" w:w="1050"/>
            <w:shd w:fill="EAF2F8"/>
            <w:vAlign w:val="center"/>
            <w:tcMar>
              <w:top w:w="90" w:type="dxa"/>
              <w:start w:w="120" w:type="dxa"/>
              <w:bottom w:w="90" w:type="dxa"/>
              <w:end w:w="120" w:type="dxa"/>
            </w:tcMar>
          </w:tcPr>
          <w:p>
            <w:pPr>
              <w:spacing w:after="0"/>
              <w:jc w:val="center"/>
            </w:pPr>
            <w:r>
              <w:rPr>
                <w:rFonts w:ascii="Calibri" w:hAnsi="Calibri" w:eastAsia="PingFang SC"/>
                <w:b/>
                <w:i w:val="0"/>
                <w:color w:val="17365D"/>
                <w:sz w:val="16"/>
              </w:rPr>
              <w:t>Brier</w:t>
            </w:r>
          </w:p>
        </w:tc>
        <w:tc>
          <w:tcPr>
            <w:tcW w:type="dxa" w:w="950"/>
            <w:shd w:fill="EAF2F8"/>
            <w:vAlign w:val="center"/>
            <w:tcMar>
              <w:top w:w="90" w:type="dxa"/>
              <w:start w:w="120" w:type="dxa"/>
              <w:bottom w:w="90" w:type="dxa"/>
              <w:end w:w="120" w:type="dxa"/>
            </w:tcMar>
          </w:tcPr>
          <w:p>
            <w:pPr>
              <w:spacing w:after="0"/>
              <w:jc w:val="center"/>
            </w:pPr>
            <w:r>
              <w:rPr>
                <w:rFonts w:ascii="Calibri" w:hAnsi="Calibri" w:eastAsia="PingFang SC"/>
                <w:b/>
                <w:i w:val="0"/>
                <w:color w:val="17365D"/>
                <w:sz w:val="16"/>
              </w:rPr>
              <w:t>ECE</w:t>
            </w:r>
          </w:p>
        </w:tc>
        <w:tc>
          <w:tcPr>
            <w:tcW w:type="dxa" w:w="1410"/>
            <w:shd w:fill="EAF2F8"/>
            <w:vAlign w:val="center"/>
            <w:tcMar>
              <w:top w:w="90" w:type="dxa"/>
              <w:start w:w="120" w:type="dxa"/>
              <w:bottom w:w="90" w:type="dxa"/>
              <w:end w:w="120" w:type="dxa"/>
            </w:tcMar>
          </w:tcPr>
          <w:p>
            <w:pPr>
              <w:spacing w:after="0"/>
              <w:jc w:val="center"/>
            </w:pPr>
            <w:r>
              <w:rPr>
                <w:rFonts w:ascii="Calibri" w:hAnsi="Calibri" w:eastAsia="PingFang SC"/>
                <w:b/>
                <w:i w:val="0"/>
                <w:color w:val="17365D"/>
                <w:sz w:val="16"/>
              </w:rPr>
              <w:t>比例误差</w:t>
            </w:r>
          </w:p>
        </w:tc>
      </w:tr>
      <w:tr>
        <w:tc>
          <w:tcPr>
            <w:tcW w:type="dxa" w:w="2740"/>
            <w:vAlign w:val="center"/>
            <w:tcMar>
              <w:top w:w="90" w:type="dxa"/>
              <w:start w:w="120" w:type="dxa"/>
              <w:bottom w:w="90" w:type="dxa"/>
              <w:end w:w="120" w:type="dxa"/>
            </w:tcMar>
          </w:tcPr>
          <w:p>
            <w:pPr>
              <w:spacing w:before="0" w:after="0" w:line="259" w:lineRule="auto"/>
              <w:jc w:val="left"/>
            </w:pPr>
            <w:r>
              <w:rPr>
                <w:rFonts w:ascii="Calibri" w:hAnsi="Calibri" w:eastAsia="PingFang SC"/>
                <w:b w:val="0"/>
                <w:i w:val="0"/>
                <w:color w:val="111111"/>
                <w:sz w:val="16"/>
              </w:rPr>
              <w:t>逻辑回归结果模型</w:t>
            </w:r>
          </w:p>
        </w:tc>
        <w:tc>
          <w:tcPr>
            <w:tcW w:type="dxa" w:w="700"/>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6"/>
              </w:rPr>
              <w:t>1</w:t>
            </w:r>
          </w:p>
        </w:tc>
        <w:tc>
          <w:tcPr>
            <w:tcW w:type="dxa" w:w="1180"/>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6"/>
              </w:rPr>
              <w:t>0.490</w:t>
            </w:r>
          </w:p>
        </w:tc>
        <w:tc>
          <w:tcPr>
            <w:tcW w:type="dxa" w:w="1330"/>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6"/>
              </w:rPr>
              <w:t>0.539</w:t>
            </w:r>
          </w:p>
        </w:tc>
        <w:tc>
          <w:tcPr>
            <w:tcW w:type="dxa" w:w="1050"/>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6"/>
              </w:rPr>
              <w:t>0.248</w:t>
            </w:r>
          </w:p>
        </w:tc>
        <w:tc>
          <w:tcPr>
            <w:tcW w:type="dxa" w:w="950"/>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6"/>
              </w:rPr>
              <w:t>—</w:t>
            </w:r>
          </w:p>
        </w:tc>
        <w:tc>
          <w:tcPr>
            <w:tcW w:type="dxa" w:w="1410"/>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6"/>
              </w:rPr>
              <w:t>0.096</w:t>
            </w:r>
          </w:p>
        </w:tc>
      </w:tr>
      <w:tr>
        <w:tc>
          <w:tcPr>
            <w:tcW w:type="dxa" w:w="2740"/>
            <w:shd w:fill="F8FAFC"/>
            <w:vAlign w:val="center"/>
            <w:tcMar>
              <w:top w:w="90" w:type="dxa"/>
              <w:start w:w="120" w:type="dxa"/>
              <w:bottom w:w="90" w:type="dxa"/>
              <w:end w:w="120" w:type="dxa"/>
            </w:tcMar>
          </w:tcPr>
          <w:p>
            <w:pPr>
              <w:spacing w:before="0" w:after="0" w:line="259" w:lineRule="auto"/>
              <w:jc w:val="left"/>
            </w:pPr>
            <w:r>
              <w:rPr>
                <w:rFonts w:ascii="Calibri" w:hAnsi="Calibri" w:eastAsia="PingFang SC"/>
                <w:b w:val="0"/>
                <w:i w:val="0"/>
                <w:color w:val="111111"/>
                <w:sz w:val="16"/>
              </w:rPr>
              <w:t>上下文倾向模型</w:t>
            </w:r>
          </w:p>
        </w:tc>
        <w:tc>
          <w:tcPr>
            <w:tcW w:type="dxa" w:w="700"/>
            <w:shd w:fill="F8FAFC"/>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6"/>
              </w:rPr>
              <w:t>1</w:t>
            </w:r>
          </w:p>
        </w:tc>
        <w:tc>
          <w:tcPr>
            <w:tcW w:type="dxa" w:w="1180"/>
            <w:shd w:fill="F8FAFC"/>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6"/>
              </w:rPr>
              <w:t>0.494</w:t>
            </w:r>
          </w:p>
        </w:tc>
        <w:tc>
          <w:tcPr>
            <w:tcW w:type="dxa" w:w="1330"/>
            <w:shd w:fill="F8FAFC"/>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6"/>
              </w:rPr>
              <w:t>0.496</w:t>
            </w:r>
          </w:p>
        </w:tc>
        <w:tc>
          <w:tcPr>
            <w:tcW w:type="dxa" w:w="1050"/>
            <w:shd w:fill="F8FAFC"/>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6"/>
              </w:rPr>
              <w:t>0.261</w:t>
            </w:r>
          </w:p>
        </w:tc>
        <w:tc>
          <w:tcPr>
            <w:tcW w:type="dxa" w:w="950"/>
            <w:shd w:fill="F8FAFC"/>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6"/>
              </w:rPr>
              <w:t>0.154</w:t>
            </w:r>
          </w:p>
        </w:tc>
        <w:tc>
          <w:tcPr>
            <w:tcW w:type="dxa" w:w="1410"/>
            <w:shd w:fill="F8FAFC"/>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6"/>
              </w:rPr>
              <w:t>0.045</w:t>
            </w:r>
          </w:p>
        </w:tc>
      </w:tr>
      <w:tr>
        <w:tc>
          <w:tcPr>
            <w:tcW w:type="dxa" w:w="2740"/>
            <w:vAlign w:val="center"/>
            <w:tcMar>
              <w:top w:w="90" w:type="dxa"/>
              <w:start w:w="120" w:type="dxa"/>
              <w:bottom w:w="90" w:type="dxa"/>
              <w:end w:w="120" w:type="dxa"/>
            </w:tcMar>
          </w:tcPr>
          <w:p>
            <w:pPr>
              <w:spacing w:before="0" w:after="0" w:line="259" w:lineRule="auto"/>
              <w:jc w:val="left"/>
            </w:pPr>
            <w:r>
              <w:rPr>
                <w:rFonts w:ascii="Calibri" w:hAnsi="Calibri" w:eastAsia="PingFang SC"/>
                <w:b w:val="0"/>
                <w:i w:val="0"/>
                <w:color w:val="111111"/>
                <w:sz w:val="16"/>
              </w:rPr>
              <w:t>PADM 规则智能体</w:t>
            </w:r>
          </w:p>
        </w:tc>
        <w:tc>
          <w:tcPr>
            <w:tcW w:type="dxa" w:w="700"/>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6"/>
              </w:rPr>
              <w:t>5</w:t>
            </w:r>
          </w:p>
        </w:tc>
        <w:tc>
          <w:tcPr>
            <w:tcW w:type="dxa" w:w="1180"/>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6"/>
              </w:rPr>
              <w:t>0.326</w:t>
            </w:r>
          </w:p>
        </w:tc>
        <w:tc>
          <w:tcPr>
            <w:tcW w:type="dxa" w:w="1330"/>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6"/>
              </w:rPr>
              <w:t>0.500</w:t>
            </w:r>
          </w:p>
        </w:tc>
        <w:tc>
          <w:tcPr>
            <w:tcW w:type="dxa" w:w="1050"/>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6"/>
              </w:rPr>
              <w:t>0.517</w:t>
            </w:r>
          </w:p>
        </w:tc>
        <w:tc>
          <w:tcPr>
            <w:tcW w:type="dxa" w:w="950"/>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6"/>
              </w:rPr>
              <w:t>—</w:t>
            </w:r>
          </w:p>
        </w:tc>
        <w:tc>
          <w:tcPr>
            <w:tcW w:type="dxa" w:w="1410"/>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6"/>
              </w:rPr>
              <w:t>0.517</w:t>
            </w:r>
          </w:p>
        </w:tc>
      </w:tr>
      <w:tr>
        <w:tc>
          <w:tcPr>
            <w:tcW w:type="dxa" w:w="2740"/>
            <w:shd w:fill="F8FAFC"/>
            <w:vAlign w:val="center"/>
            <w:tcMar>
              <w:top w:w="90" w:type="dxa"/>
              <w:start w:w="120" w:type="dxa"/>
              <w:bottom w:w="90" w:type="dxa"/>
              <w:end w:w="120" w:type="dxa"/>
            </w:tcMar>
          </w:tcPr>
          <w:p>
            <w:pPr>
              <w:spacing w:before="0" w:after="0" w:line="259" w:lineRule="auto"/>
              <w:jc w:val="left"/>
            </w:pPr>
            <w:r>
              <w:rPr>
                <w:rFonts w:ascii="Calibri" w:hAnsi="Calibri" w:eastAsia="PingFang SC"/>
                <w:b w:val="0"/>
                <w:i w:val="0"/>
                <w:color w:val="111111"/>
                <w:sz w:val="16"/>
              </w:rPr>
              <w:t>一次性无状态 LLM</w:t>
            </w:r>
          </w:p>
        </w:tc>
        <w:tc>
          <w:tcPr>
            <w:tcW w:type="dxa" w:w="700"/>
            <w:shd w:fill="F8FAFC"/>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6"/>
              </w:rPr>
              <w:t>5</w:t>
            </w:r>
          </w:p>
        </w:tc>
        <w:tc>
          <w:tcPr>
            <w:tcW w:type="dxa" w:w="1180"/>
            <w:shd w:fill="F8FAFC"/>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6"/>
              </w:rPr>
              <w:t>0.421</w:t>
            </w:r>
          </w:p>
        </w:tc>
        <w:tc>
          <w:tcPr>
            <w:tcW w:type="dxa" w:w="1330"/>
            <w:shd w:fill="F8FAFC"/>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6"/>
              </w:rPr>
              <w:t>0.507</w:t>
            </w:r>
          </w:p>
        </w:tc>
        <w:tc>
          <w:tcPr>
            <w:tcW w:type="dxa" w:w="1050"/>
            <w:shd w:fill="F8FAFC"/>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6"/>
              </w:rPr>
              <w:t>0.312</w:t>
            </w:r>
          </w:p>
        </w:tc>
        <w:tc>
          <w:tcPr>
            <w:tcW w:type="dxa" w:w="950"/>
            <w:shd w:fill="F8FAFC"/>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6"/>
              </w:rPr>
              <w:t>—</w:t>
            </w:r>
          </w:p>
        </w:tc>
        <w:tc>
          <w:tcPr>
            <w:tcW w:type="dxa" w:w="1410"/>
            <w:shd w:fill="F8FAFC"/>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6"/>
              </w:rPr>
              <w:t>0.191</w:t>
            </w:r>
          </w:p>
        </w:tc>
      </w:tr>
      <w:tr>
        <w:tc>
          <w:tcPr>
            <w:tcW w:type="dxa" w:w="2740"/>
            <w:vAlign w:val="center"/>
            <w:tcMar>
              <w:top w:w="90" w:type="dxa"/>
              <w:start w:w="120" w:type="dxa"/>
              <w:bottom w:w="90" w:type="dxa"/>
              <w:end w:w="120" w:type="dxa"/>
            </w:tcMar>
          </w:tcPr>
          <w:p>
            <w:pPr>
              <w:spacing w:before="0" w:after="0" w:line="259" w:lineRule="auto"/>
              <w:jc w:val="left"/>
            </w:pPr>
            <w:r>
              <w:rPr>
                <w:rFonts w:ascii="Calibri" w:hAnsi="Calibri" w:eastAsia="PingFang SC"/>
                <w:b w:val="0"/>
                <w:i w:val="0"/>
                <w:color w:val="111111"/>
                <w:sz w:val="16"/>
              </w:rPr>
              <w:t>DisasterSociety 校准持续过程</w:t>
            </w:r>
          </w:p>
        </w:tc>
        <w:tc>
          <w:tcPr>
            <w:tcW w:type="dxa" w:w="700"/>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6"/>
              </w:rPr>
              <w:t>5</w:t>
            </w:r>
          </w:p>
        </w:tc>
        <w:tc>
          <w:tcPr>
            <w:tcW w:type="dxa" w:w="1180"/>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6"/>
              </w:rPr>
              <w:t>0.551</w:t>
            </w:r>
          </w:p>
        </w:tc>
        <w:tc>
          <w:tcPr>
            <w:tcW w:type="dxa" w:w="1330"/>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6"/>
              </w:rPr>
              <w:t>0.553</w:t>
            </w:r>
          </w:p>
        </w:tc>
        <w:tc>
          <w:tcPr>
            <w:tcW w:type="dxa" w:w="1050"/>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6"/>
              </w:rPr>
              <w:t>0.269</w:t>
            </w:r>
          </w:p>
        </w:tc>
        <w:tc>
          <w:tcPr>
            <w:tcW w:type="dxa" w:w="950"/>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6"/>
              </w:rPr>
              <w:t>0.124</w:t>
            </w:r>
          </w:p>
        </w:tc>
        <w:tc>
          <w:tcPr>
            <w:tcW w:type="dxa" w:w="1410"/>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6"/>
              </w:rPr>
              <w:t>0.018</w:t>
            </w:r>
          </w:p>
        </w:tc>
      </w:tr>
    </w:tbl>
    <w:p>
      <w:pPr>
        <w:spacing w:after="60"/>
      </w:pPr>
    </w:p>
    <w:p>
      <w:pPr>
        <w:spacing w:before="60" w:after="180"/>
        <w:jc w:val="center"/>
      </w:pPr>
      <w:r>
        <w:rPr>
          <w:rFonts w:ascii="Calibri" w:hAnsi="Calibri" w:eastAsia="PingFang SC"/>
          <w:b w:val="0"/>
          <w:i w:val="0"/>
          <w:color w:val="6B7280"/>
          <w:sz w:val="18"/>
        </w:rPr>
        <w:t>表3  冻结的 87 户 Irma 测试队列结果</w:t>
      </w:r>
    </w:p>
    <w:p>
      <w:pPr>
        <w:keepLines w:val="0"/>
        <w:spacing w:before="0" w:after="140" w:line="312" w:lineRule="auto"/>
        <w:jc w:val="both"/>
      </w:pPr>
      <w:r>
        <w:rPr>
          <w:rFonts w:ascii="Calibri" w:hAnsi="Calibri" w:eastAsia="PingFang SC"/>
          <w:b w:val="0"/>
          <w:i w:val="0"/>
          <w:color w:val="111111"/>
          <w:sz w:val="21"/>
        </w:rPr>
        <w:t>总体校准持续过程取得最高 Macro-F1（0.551）、最高平衡准确率（0.553）和最低总体比例误差（0.018）。上下文倾向模型的 Brier 分数更低（0.261 对 0.269），而持续过程的 ECE 更低（0.124 对 0.154）。</w:t>
      </w:r>
    </w:p>
    <w:p>
      <w:pPr>
        <w:keepLines w:val="0"/>
        <w:spacing w:before="0" w:after="140" w:line="312" w:lineRule="auto"/>
        <w:jc w:val="both"/>
      </w:pPr>
      <w:r>
        <w:rPr>
          <w:rFonts w:ascii="Calibri" w:hAnsi="Calibri" w:eastAsia="PingFang SC"/>
          <w:b w:val="0"/>
          <w:i w:val="0"/>
          <w:color w:val="111111"/>
          <w:sz w:val="21"/>
        </w:rPr>
        <w:t>相对于上下文倾向模型，持续过程的 Macro-F1 效应为 +0.058，95% 家庭自助法区间为 [−0.023, 0.138]。点估计有利于持续过程，但该区间不能证明分类性能显著提高。倾向模型减持续过程的 Brier 效应为 −0.007，区间为 [−0.031, 0.015]，说明持续过程的 Brier 点估计略差。总体比例误差改善为 0.027，区间为 [−0.041, 0.047]。因此，持续过程改善了总体比例和 ECE 的点估计，但样本不足以支持全面统计优势。</w:t>
      </w:r>
    </w:p>
    <w:p>
      <w:pPr>
        <w:keepLines w:val="0"/>
        <w:spacing w:before="0" w:after="140" w:line="312" w:lineRule="auto"/>
        <w:jc w:val="both"/>
      </w:pPr>
      <w:r>
        <w:rPr>
          <w:rFonts w:ascii="Calibri" w:hAnsi="Calibri" w:eastAsia="PingFang SC"/>
          <w:b w:val="0"/>
          <w:i w:val="0"/>
          <w:color w:val="111111"/>
          <w:sz w:val="21"/>
        </w:rPr>
        <w:t>跨种子平均撤离比例为 0.501±0.052，真实调查比例为 0.483；种子级 Macro-F1 为 0.525±0.025。五个运行均有效，没有回退、模式修复、缺失输出、信息泄漏或非法状态转移。</w:t>
      </w:r>
    </w:p>
    <w:p>
      <w:pPr>
        <w:pStyle w:val="Heading2"/>
        <w:keepNext/>
      </w:pPr>
      <w:r>
        <w:rPr>
          <w:rFonts w:ascii="Calibri" w:hAnsi="Calibri" w:eastAsia="PingFang SC"/>
          <w:b/>
          <w:i w:val="0"/>
          <w:color w:val="2E74B5"/>
          <w:sz w:val="26"/>
        </w:rPr>
        <w:t>6.2 持续状态是可识别的核心智能体机制</w:t>
      </w:r>
    </w:p>
    <w:tbl>
      <w:tblPr>
        <w:tblStyle w:val="TableGrid"/>
        <w:tblW w:type="dxa" w:w="9360"/>
        <w:jc w:val="center"/>
        <w:tblLayout w:type="fixed"/>
        <w:tblLook w:firstColumn="1" w:firstRow="1" w:lastColumn="0" w:lastRow="0" w:noHBand="0" w:noVBand="1" w:val="04A0"/>
        <w:tblInd w:w="120" w:type="dxa"/>
      </w:tblPr>
      <w:tblGrid>
        <w:gridCol w:w="2800"/>
        <w:gridCol w:w="1500"/>
        <w:gridCol w:w="1900"/>
        <w:gridCol w:w="1450"/>
        <w:gridCol w:w="1710"/>
      </w:tblGrid>
      <w:tr>
        <w:trPr>
          <w:tblHeader w:val="true"/>
        </w:trPr>
        <w:tc>
          <w:tcPr>
            <w:tcW w:type="dxa" w:w="2800"/>
            <w:shd w:fill="EAF2F8"/>
            <w:vAlign w:val="center"/>
            <w:tcMar>
              <w:top w:w="90" w:type="dxa"/>
              <w:start w:w="120" w:type="dxa"/>
              <w:bottom w:w="90" w:type="dxa"/>
              <w:end w:w="120" w:type="dxa"/>
            </w:tcMar>
          </w:tcPr>
          <w:p>
            <w:pPr>
              <w:spacing w:after="0"/>
              <w:jc w:val="center"/>
            </w:pPr>
            <w:r>
              <w:rPr>
                <w:rFonts w:ascii="Calibri" w:hAnsi="Calibri" w:eastAsia="PingFang SC"/>
                <w:b/>
                <w:i w:val="0"/>
                <w:color w:val="17365D"/>
                <w:sz w:val="17"/>
              </w:rPr>
              <w:t>配置</w:t>
            </w:r>
          </w:p>
        </w:tc>
        <w:tc>
          <w:tcPr>
            <w:tcW w:type="dxa" w:w="1500"/>
            <w:shd w:fill="EAF2F8"/>
            <w:vAlign w:val="center"/>
            <w:tcMar>
              <w:top w:w="90" w:type="dxa"/>
              <w:start w:w="120" w:type="dxa"/>
              <w:bottom w:w="90" w:type="dxa"/>
              <w:end w:w="120" w:type="dxa"/>
            </w:tcMar>
          </w:tcPr>
          <w:p>
            <w:pPr>
              <w:spacing w:after="0"/>
              <w:jc w:val="center"/>
            </w:pPr>
            <w:r>
              <w:rPr>
                <w:rFonts w:ascii="Calibri" w:hAnsi="Calibri" w:eastAsia="PingFang SC"/>
                <w:b/>
                <w:i w:val="0"/>
                <w:color w:val="17365D"/>
                <w:sz w:val="17"/>
              </w:rPr>
              <w:t>Macro-F1</w:t>
            </w:r>
          </w:p>
        </w:tc>
        <w:tc>
          <w:tcPr>
            <w:tcW w:type="dxa" w:w="1900"/>
            <w:shd w:fill="EAF2F8"/>
            <w:vAlign w:val="center"/>
            <w:tcMar>
              <w:top w:w="90" w:type="dxa"/>
              <w:start w:w="120" w:type="dxa"/>
              <w:bottom w:w="90" w:type="dxa"/>
              <w:end w:w="120" w:type="dxa"/>
            </w:tcMar>
          </w:tcPr>
          <w:p>
            <w:pPr>
              <w:spacing w:after="0"/>
              <w:jc w:val="center"/>
            </w:pPr>
            <w:r>
              <w:rPr>
                <w:rFonts w:ascii="Calibri" w:hAnsi="Calibri" w:eastAsia="PingFang SC"/>
                <w:b/>
                <w:i w:val="0"/>
                <w:color w:val="17365D"/>
                <w:sz w:val="17"/>
              </w:rPr>
              <w:t>平衡准确率</w:t>
            </w:r>
          </w:p>
        </w:tc>
        <w:tc>
          <w:tcPr>
            <w:tcW w:type="dxa" w:w="1450"/>
            <w:shd w:fill="EAF2F8"/>
            <w:vAlign w:val="center"/>
            <w:tcMar>
              <w:top w:w="90" w:type="dxa"/>
              <w:start w:w="120" w:type="dxa"/>
              <w:bottom w:w="90" w:type="dxa"/>
              <w:end w:w="120" w:type="dxa"/>
            </w:tcMar>
          </w:tcPr>
          <w:p>
            <w:pPr>
              <w:spacing w:after="0"/>
              <w:jc w:val="center"/>
            </w:pPr>
            <w:r>
              <w:rPr>
                <w:rFonts w:ascii="Calibri" w:hAnsi="Calibri" w:eastAsia="PingFang SC"/>
                <w:b/>
                <w:i w:val="0"/>
                <w:color w:val="17365D"/>
                <w:sz w:val="17"/>
              </w:rPr>
              <w:t>Brier</w:t>
            </w:r>
          </w:p>
        </w:tc>
        <w:tc>
          <w:tcPr>
            <w:tcW w:type="dxa" w:w="1710"/>
            <w:shd w:fill="EAF2F8"/>
            <w:vAlign w:val="center"/>
            <w:tcMar>
              <w:top w:w="90" w:type="dxa"/>
              <w:start w:w="120" w:type="dxa"/>
              <w:bottom w:w="90" w:type="dxa"/>
              <w:end w:w="120" w:type="dxa"/>
            </w:tcMar>
          </w:tcPr>
          <w:p>
            <w:pPr>
              <w:spacing w:after="0"/>
              <w:jc w:val="center"/>
            </w:pPr>
            <w:r>
              <w:rPr>
                <w:rFonts w:ascii="Calibri" w:hAnsi="Calibri" w:eastAsia="PingFang SC"/>
                <w:b/>
                <w:i w:val="0"/>
                <w:color w:val="17365D"/>
                <w:sz w:val="17"/>
              </w:rPr>
              <w:t>比例误差</w:t>
            </w:r>
          </w:p>
        </w:tc>
      </w:tr>
      <w:tr>
        <w:tc>
          <w:tcPr>
            <w:tcW w:type="dxa" w:w="2800"/>
            <w:vAlign w:val="center"/>
            <w:tcMar>
              <w:top w:w="90" w:type="dxa"/>
              <w:start w:w="120" w:type="dxa"/>
              <w:bottom w:w="90" w:type="dxa"/>
              <w:end w:w="120" w:type="dxa"/>
            </w:tcMar>
          </w:tcPr>
          <w:p>
            <w:pPr>
              <w:spacing w:before="0" w:after="0" w:line="259" w:lineRule="auto"/>
              <w:jc w:val="left"/>
            </w:pPr>
            <w:r>
              <w:rPr>
                <w:rFonts w:ascii="Calibri" w:hAnsi="Calibri" w:eastAsia="PingFang SC"/>
                <w:b w:val="0"/>
                <w:i w:val="0"/>
                <w:color w:val="111111"/>
                <w:sz w:val="17"/>
              </w:rPr>
              <w:t>无状态</w:t>
            </w:r>
          </w:p>
        </w:tc>
        <w:tc>
          <w:tcPr>
            <w:tcW w:type="dxa" w:w="1500"/>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7"/>
              </w:rPr>
              <w:t>0.362</w:t>
            </w:r>
          </w:p>
        </w:tc>
        <w:tc>
          <w:tcPr>
            <w:tcW w:type="dxa" w:w="1900"/>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7"/>
              </w:rPr>
              <w:t>0.500</w:t>
            </w:r>
          </w:p>
        </w:tc>
        <w:tc>
          <w:tcPr>
            <w:tcW w:type="dxa" w:w="1450"/>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7"/>
              </w:rPr>
              <w:t>0.433</w:t>
            </w:r>
          </w:p>
        </w:tc>
        <w:tc>
          <w:tcPr>
            <w:tcW w:type="dxa" w:w="1710"/>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7"/>
              </w:rPr>
              <w:t>0.433</w:t>
            </w:r>
          </w:p>
        </w:tc>
      </w:tr>
      <w:tr>
        <w:tc>
          <w:tcPr>
            <w:tcW w:type="dxa" w:w="2800"/>
            <w:shd w:fill="F8FAFC"/>
            <w:vAlign w:val="center"/>
            <w:tcMar>
              <w:top w:w="90" w:type="dxa"/>
              <w:start w:w="120" w:type="dxa"/>
              <w:bottom w:w="90" w:type="dxa"/>
              <w:end w:w="120" w:type="dxa"/>
            </w:tcMar>
          </w:tcPr>
          <w:p>
            <w:pPr>
              <w:spacing w:before="0" w:after="0" w:line="259" w:lineRule="auto"/>
              <w:jc w:val="left"/>
            </w:pPr>
            <w:r>
              <w:rPr>
                <w:rFonts w:ascii="Calibri" w:hAnsi="Calibri" w:eastAsia="PingFang SC"/>
                <w:b w:val="0"/>
                <w:i w:val="0"/>
                <w:color w:val="111111"/>
                <w:sz w:val="17"/>
              </w:rPr>
              <w:t>仅持续状态</w:t>
            </w:r>
          </w:p>
        </w:tc>
        <w:tc>
          <w:tcPr>
            <w:tcW w:type="dxa" w:w="1500"/>
            <w:shd w:fill="F8FAFC"/>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7"/>
              </w:rPr>
              <w:t>0.700</w:t>
            </w:r>
          </w:p>
        </w:tc>
        <w:tc>
          <w:tcPr>
            <w:tcW w:type="dxa" w:w="1900"/>
            <w:shd w:fill="F8FAFC"/>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7"/>
              </w:rPr>
              <w:t>0.717</w:t>
            </w:r>
          </w:p>
        </w:tc>
        <w:tc>
          <w:tcPr>
            <w:tcW w:type="dxa" w:w="1450"/>
            <w:shd w:fill="F8FAFC"/>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7"/>
              </w:rPr>
              <w:t>0.203</w:t>
            </w:r>
          </w:p>
        </w:tc>
        <w:tc>
          <w:tcPr>
            <w:tcW w:type="dxa" w:w="1710"/>
            <w:shd w:fill="F8FAFC"/>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7"/>
              </w:rPr>
              <w:t>0.053</w:t>
            </w:r>
          </w:p>
        </w:tc>
      </w:tr>
      <w:tr>
        <w:tc>
          <w:tcPr>
            <w:tcW w:type="dxa" w:w="2800"/>
            <w:vAlign w:val="center"/>
            <w:tcMar>
              <w:top w:w="90" w:type="dxa"/>
              <w:start w:w="120" w:type="dxa"/>
              <w:bottom w:w="90" w:type="dxa"/>
              <w:end w:w="120" w:type="dxa"/>
            </w:tcMar>
          </w:tcPr>
          <w:p>
            <w:pPr>
              <w:spacing w:before="0" w:after="0" w:line="259" w:lineRule="auto"/>
              <w:jc w:val="left"/>
            </w:pPr>
            <w:r>
              <w:rPr>
                <w:rFonts w:ascii="Calibri" w:hAnsi="Calibri" w:eastAsia="PingFang SC"/>
                <w:b w:val="0"/>
                <w:i w:val="0"/>
                <w:color w:val="111111"/>
                <w:sz w:val="17"/>
              </w:rPr>
              <w:t>持续状态+执行反馈</w:t>
            </w:r>
          </w:p>
        </w:tc>
        <w:tc>
          <w:tcPr>
            <w:tcW w:type="dxa" w:w="1500"/>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7"/>
              </w:rPr>
              <w:t>0.665</w:t>
            </w:r>
          </w:p>
        </w:tc>
        <w:tc>
          <w:tcPr>
            <w:tcW w:type="dxa" w:w="1900"/>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7"/>
              </w:rPr>
              <w:t>0.688</w:t>
            </w:r>
          </w:p>
        </w:tc>
        <w:tc>
          <w:tcPr>
            <w:tcW w:type="dxa" w:w="1450"/>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7"/>
              </w:rPr>
              <w:t>0.208</w:t>
            </w:r>
          </w:p>
        </w:tc>
        <w:tc>
          <w:tcPr>
            <w:tcW w:type="dxa" w:w="1710"/>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7"/>
              </w:rPr>
              <w:t>0.080</w:t>
            </w:r>
          </w:p>
        </w:tc>
      </w:tr>
      <w:tr>
        <w:tc>
          <w:tcPr>
            <w:tcW w:type="dxa" w:w="2800"/>
            <w:shd w:fill="F8FAFC"/>
            <w:vAlign w:val="center"/>
            <w:tcMar>
              <w:top w:w="90" w:type="dxa"/>
              <w:start w:w="120" w:type="dxa"/>
              <w:bottom w:w="90" w:type="dxa"/>
              <w:end w:w="120" w:type="dxa"/>
            </w:tcMar>
          </w:tcPr>
          <w:p>
            <w:pPr>
              <w:spacing w:before="0" w:after="0" w:line="259" w:lineRule="auto"/>
              <w:jc w:val="left"/>
            </w:pPr>
            <w:r>
              <w:rPr>
                <w:rFonts w:ascii="Calibri" w:hAnsi="Calibri" w:eastAsia="PingFang SC"/>
                <w:b w:val="0"/>
                <w:i w:val="0"/>
                <w:color w:val="111111"/>
                <w:sz w:val="17"/>
              </w:rPr>
              <w:t>完整持续配置</w:t>
            </w:r>
          </w:p>
        </w:tc>
        <w:tc>
          <w:tcPr>
            <w:tcW w:type="dxa" w:w="1500"/>
            <w:shd w:fill="F8FAFC"/>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7"/>
              </w:rPr>
              <w:t>0.697</w:t>
            </w:r>
          </w:p>
        </w:tc>
        <w:tc>
          <w:tcPr>
            <w:tcW w:type="dxa" w:w="1900"/>
            <w:shd w:fill="F8FAFC"/>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7"/>
              </w:rPr>
              <w:t>0.699</w:t>
            </w:r>
          </w:p>
        </w:tc>
        <w:tc>
          <w:tcPr>
            <w:tcW w:type="dxa" w:w="1450"/>
            <w:shd w:fill="F8FAFC"/>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7"/>
              </w:rPr>
              <w:t>0.224</w:t>
            </w:r>
          </w:p>
        </w:tc>
        <w:tc>
          <w:tcPr>
            <w:tcW w:type="dxa" w:w="1710"/>
            <w:shd w:fill="F8FAFC"/>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7"/>
              </w:rPr>
              <w:t>0.027</w:t>
            </w:r>
          </w:p>
        </w:tc>
      </w:tr>
    </w:tbl>
    <w:p>
      <w:pPr>
        <w:spacing w:after="60"/>
      </w:pPr>
    </w:p>
    <w:p>
      <w:pPr>
        <w:spacing w:before="60" w:after="180"/>
        <w:jc w:val="center"/>
      </w:pPr>
      <w:r>
        <w:rPr>
          <w:rFonts w:ascii="Calibri" w:hAnsi="Calibri" w:eastAsia="PingFang SC"/>
          <w:b w:val="0"/>
          <w:i w:val="0"/>
          <w:color w:val="6B7280"/>
          <w:sz w:val="18"/>
        </w:rPr>
        <w:t>表4  五种子持续智能体机制消融</w:t>
      </w:r>
    </w:p>
    <w:p>
      <w:pPr>
        <w:keepLines w:val="0"/>
        <w:spacing w:before="0" w:after="140" w:line="312" w:lineRule="auto"/>
        <w:jc w:val="both"/>
      </w:pPr>
      <w:r>
        <w:rPr>
          <w:rFonts w:ascii="Calibri" w:hAnsi="Calibri" w:eastAsia="PingFang SC"/>
          <w:b w:val="0"/>
          <w:i w:val="0"/>
          <w:color w:val="111111"/>
          <w:sz w:val="21"/>
        </w:rPr>
        <w:t>无状态智能体不能跨时刻维持合法准备阶段，因此集成结果没有产生撤离，Macro-F1 仅为 0.362。仅加入持续状态后，Macro-F1 提高到 0.700，Brier 分数从 0.433 降到 0.203。仅持续状态相对无状态的家庭配对 Macro-F1 效应为 +0.331，95% 区间为 [0.125, 0.522]；Brier 改善为 +0.230，区间为 [0.039, 0.423]。两者均不跨零。</w:t>
      </w:r>
    </w:p>
    <w:p>
      <w:pPr>
        <w:keepLines w:val="0"/>
        <w:spacing w:before="0" w:after="140" w:line="312" w:lineRule="auto"/>
        <w:jc w:val="both"/>
      </w:pPr>
      <w:r>
        <w:rPr>
          <w:rFonts w:ascii="Calibri" w:hAnsi="Calibri" w:eastAsia="PingFang SC"/>
          <w:b w:val="0"/>
          <w:i w:val="0"/>
          <w:color w:val="111111"/>
          <w:sz w:val="21"/>
        </w:rPr>
        <w:t>加入执行反馈相对于仅持续状态的 Macro-F1 效应为 −0.035，区间为 [−0.116, 0.000]；完整持续配置相对于仅持续状态的效应为 −0.002，区间为 [−0.132, 0.130]。因此，现有数据支持“持续状态”这一机制，但没有证明反馈、记忆或计划修订带来额外预测收益。完整持续配置的总体比例误差点估计更低，但配对改善仍然不确定。</w:t>
      </w:r>
    </w:p>
    <w:p>
      <w:pPr>
        <w:pStyle w:val="Heading2"/>
        <w:keepNext/>
      </w:pPr>
      <w:r>
        <w:rPr>
          <w:rFonts w:ascii="Calibri" w:hAnsi="Calibri" w:eastAsia="PingFang SC"/>
          <w:b/>
          <w:i w:val="0"/>
          <w:color w:val="2E74B5"/>
          <w:sz w:val="26"/>
        </w:rPr>
        <w:t>6.3 冻结的 Irma 到 Carr 跨灾种确认</w:t>
      </w:r>
    </w:p>
    <w:tbl>
      <w:tblPr>
        <w:tblStyle w:val="TableGrid"/>
        <w:tblW w:type="dxa" w:w="9360"/>
        <w:jc w:val="center"/>
        <w:tblLayout w:type="fixed"/>
        <w:tblLook w:firstColumn="1" w:firstRow="1" w:lastColumn="0" w:lastRow="0" w:noHBand="0" w:noVBand="1" w:val="04A0"/>
        <w:tblInd w:w="120" w:type="dxa"/>
      </w:tblPr>
      <w:tblGrid>
        <w:gridCol w:w="2390"/>
        <w:gridCol w:w="1390"/>
        <w:gridCol w:w="1120"/>
        <w:gridCol w:w="1350"/>
        <w:gridCol w:w="960"/>
        <w:gridCol w:w="880"/>
        <w:gridCol w:w="1270"/>
      </w:tblGrid>
      <w:tr>
        <w:trPr>
          <w:tblHeader w:val="true"/>
        </w:trPr>
        <w:tc>
          <w:tcPr>
            <w:tcW w:type="dxa" w:w="2390"/>
            <w:shd w:fill="EAF2F8"/>
            <w:vAlign w:val="center"/>
            <w:tcMar>
              <w:top w:w="90" w:type="dxa"/>
              <w:start w:w="120" w:type="dxa"/>
              <w:bottom w:w="90" w:type="dxa"/>
              <w:end w:w="120" w:type="dxa"/>
            </w:tcMar>
          </w:tcPr>
          <w:p>
            <w:pPr>
              <w:spacing w:after="0"/>
              <w:jc w:val="center"/>
            </w:pPr>
            <w:r>
              <w:rPr>
                <w:rFonts w:ascii="Calibri" w:hAnsi="Calibri" w:eastAsia="PingFang SC"/>
                <w:b/>
                <w:i w:val="0"/>
                <w:color w:val="17365D"/>
                <w:sz w:val="15"/>
              </w:rPr>
              <w:t>条件</w:t>
            </w:r>
          </w:p>
        </w:tc>
        <w:tc>
          <w:tcPr>
            <w:tcW w:type="dxa" w:w="1390"/>
            <w:shd w:fill="EAF2F8"/>
            <w:vAlign w:val="center"/>
            <w:tcMar>
              <w:top w:w="90" w:type="dxa"/>
              <w:start w:w="120" w:type="dxa"/>
              <w:bottom w:w="90" w:type="dxa"/>
              <w:end w:w="120" w:type="dxa"/>
            </w:tcMar>
          </w:tcPr>
          <w:p>
            <w:pPr>
              <w:spacing w:after="0"/>
              <w:jc w:val="center"/>
            </w:pPr>
            <w:r>
              <w:rPr>
                <w:rFonts w:ascii="Calibri" w:hAnsi="Calibri" w:eastAsia="PingFang SC"/>
                <w:b/>
                <w:i w:val="0"/>
                <w:color w:val="17365D"/>
                <w:sz w:val="15"/>
              </w:rPr>
              <w:t>拟合数据</w:t>
            </w:r>
          </w:p>
        </w:tc>
        <w:tc>
          <w:tcPr>
            <w:tcW w:type="dxa" w:w="1120"/>
            <w:shd w:fill="EAF2F8"/>
            <w:vAlign w:val="center"/>
            <w:tcMar>
              <w:top w:w="90" w:type="dxa"/>
              <w:start w:w="120" w:type="dxa"/>
              <w:bottom w:w="90" w:type="dxa"/>
              <w:end w:w="120" w:type="dxa"/>
            </w:tcMar>
          </w:tcPr>
          <w:p>
            <w:pPr>
              <w:spacing w:after="0"/>
              <w:jc w:val="center"/>
            </w:pPr>
            <w:r>
              <w:rPr>
                <w:rFonts w:ascii="Calibri" w:hAnsi="Calibri" w:eastAsia="PingFang SC"/>
                <w:b/>
                <w:i w:val="0"/>
                <w:color w:val="17365D"/>
                <w:sz w:val="15"/>
              </w:rPr>
              <w:t>Macro-F1</w:t>
            </w:r>
          </w:p>
        </w:tc>
        <w:tc>
          <w:tcPr>
            <w:tcW w:type="dxa" w:w="1350"/>
            <w:shd w:fill="EAF2F8"/>
            <w:vAlign w:val="center"/>
            <w:tcMar>
              <w:top w:w="90" w:type="dxa"/>
              <w:start w:w="120" w:type="dxa"/>
              <w:bottom w:w="90" w:type="dxa"/>
              <w:end w:w="120" w:type="dxa"/>
            </w:tcMar>
          </w:tcPr>
          <w:p>
            <w:pPr>
              <w:spacing w:after="0"/>
              <w:jc w:val="center"/>
            </w:pPr>
            <w:r>
              <w:rPr>
                <w:rFonts w:ascii="Calibri" w:hAnsi="Calibri" w:eastAsia="PingFang SC"/>
                <w:b/>
                <w:i w:val="0"/>
                <w:color w:val="17365D"/>
                <w:sz w:val="15"/>
              </w:rPr>
              <w:t>平衡准确率</w:t>
            </w:r>
          </w:p>
        </w:tc>
        <w:tc>
          <w:tcPr>
            <w:tcW w:type="dxa" w:w="960"/>
            <w:shd w:fill="EAF2F8"/>
            <w:vAlign w:val="center"/>
            <w:tcMar>
              <w:top w:w="90" w:type="dxa"/>
              <w:start w:w="120" w:type="dxa"/>
              <w:bottom w:w="90" w:type="dxa"/>
              <w:end w:w="120" w:type="dxa"/>
            </w:tcMar>
          </w:tcPr>
          <w:p>
            <w:pPr>
              <w:spacing w:after="0"/>
              <w:jc w:val="center"/>
            </w:pPr>
            <w:r>
              <w:rPr>
                <w:rFonts w:ascii="Calibri" w:hAnsi="Calibri" w:eastAsia="PingFang SC"/>
                <w:b/>
                <w:i w:val="0"/>
                <w:color w:val="17365D"/>
                <w:sz w:val="15"/>
              </w:rPr>
              <w:t>Brier</w:t>
            </w:r>
          </w:p>
        </w:tc>
        <w:tc>
          <w:tcPr>
            <w:tcW w:type="dxa" w:w="880"/>
            <w:shd w:fill="EAF2F8"/>
            <w:vAlign w:val="center"/>
            <w:tcMar>
              <w:top w:w="90" w:type="dxa"/>
              <w:start w:w="120" w:type="dxa"/>
              <w:bottom w:w="90" w:type="dxa"/>
              <w:end w:w="120" w:type="dxa"/>
            </w:tcMar>
          </w:tcPr>
          <w:p>
            <w:pPr>
              <w:spacing w:after="0"/>
              <w:jc w:val="center"/>
            </w:pPr>
            <w:r>
              <w:rPr>
                <w:rFonts w:ascii="Calibri" w:hAnsi="Calibri" w:eastAsia="PingFang SC"/>
                <w:b/>
                <w:i w:val="0"/>
                <w:color w:val="17365D"/>
                <w:sz w:val="15"/>
              </w:rPr>
              <w:t>ECE</w:t>
            </w:r>
          </w:p>
        </w:tc>
        <w:tc>
          <w:tcPr>
            <w:tcW w:type="dxa" w:w="1270"/>
            <w:shd w:fill="EAF2F8"/>
            <w:vAlign w:val="center"/>
            <w:tcMar>
              <w:top w:w="90" w:type="dxa"/>
              <w:start w:w="120" w:type="dxa"/>
              <w:bottom w:w="90" w:type="dxa"/>
              <w:end w:w="120" w:type="dxa"/>
            </w:tcMar>
          </w:tcPr>
          <w:p>
            <w:pPr>
              <w:spacing w:after="0"/>
              <w:jc w:val="center"/>
            </w:pPr>
            <w:r>
              <w:rPr>
                <w:rFonts w:ascii="Calibri" w:hAnsi="Calibri" w:eastAsia="PingFang SC"/>
                <w:b/>
                <w:i w:val="0"/>
                <w:color w:val="17365D"/>
                <w:sz w:val="15"/>
              </w:rPr>
              <w:t>比例误差</w:t>
            </w:r>
          </w:p>
        </w:tc>
      </w:tr>
      <w:tr>
        <w:tc>
          <w:tcPr>
            <w:tcW w:type="dxa" w:w="2390"/>
            <w:vAlign w:val="center"/>
            <w:tcMar>
              <w:top w:w="90" w:type="dxa"/>
              <w:start w:w="120" w:type="dxa"/>
              <w:bottom w:w="90" w:type="dxa"/>
              <w:end w:w="120" w:type="dxa"/>
            </w:tcMar>
          </w:tcPr>
          <w:p>
            <w:pPr>
              <w:spacing w:before="0" w:after="0" w:line="259" w:lineRule="auto"/>
              <w:jc w:val="left"/>
            </w:pPr>
            <w:r>
              <w:rPr>
                <w:rFonts w:ascii="Calibri" w:hAnsi="Calibri" w:eastAsia="PingFang SC"/>
                <w:b w:val="0"/>
                <w:i w:val="0"/>
                <w:color w:val="111111"/>
                <w:sz w:val="15"/>
              </w:rPr>
              <w:t>全部撤离</w:t>
            </w:r>
          </w:p>
        </w:tc>
        <w:tc>
          <w:tcPr>
            <w:tcW w:type="dxa" w:w="1390"/>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5"/>
              </w:rPr>
              <w:t>无</w:t>
            </w:r>
          </w:p>
        </w:tc>
        <w:tc>
          <w:tcPr>
            <w:tcW w:type="dxa" w:w="1120"/>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5"/>
              </w:rPr>
              <w:t>0.469</w:t>
            </w:r>
          </w:p>
        </w:tc>
        <w:tc>
          <w:tcPr>
            <w:tcW w:type="dxa" w:w="1350"/>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5"/>
              </w:rPr>
              <w:t>0.500</w:t>
            </w:r>
          </w:p>
        </w:tc>
        <w:tc>
          <w:tcPr>
            <w:tcW w:type="dxa" w:w="960"/>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5"/>
              </w:rPr>
              <w:t>0.118</w:t>
            </w:r>
          </w:p>
        </w:tc>
        <w:tc>
          <w:tcPr>
            <w:tcW w:type="dxa" w:w="880"/>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5"/>
              </w:rPr>
              <w:t>0.118</w:t>
            </w:r>
          </w:p>
        </w:tc>
        <w:tc>
          <w:tcPr>
            <w:tcW w:type="dxa" w:w="1270"/>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5"/>
              </w:rPr>
              <w:t>0.118</w:t>
            </w:r>
          </w:p>
        </w:tc>
      </w:tr>
      <w:tr>
        <w:tc>
          <w:tcPr>
            <w:tcW w:type="dxa" w:w="2390"/>
            <w:shd w:fill="F8FAFC"/>
            <w:vAlign w:val="center"/>
            <w:tcMar>
              <w:top w:w="90" w:type="dxa"/>
              <w:start w:w="120" w:type="dxa"/>
              <w:bottom w:w="90" w:type="dxa"/>
              <w:end w:w="120" w:type="dxa"/>
            </w:tcMar>
          </w:tcPr>
          <w:p>
            <w:pPr>
              <w:spacing w:before="0" w:after="0" w:line="259" w:lineRule="auto"/>
              <w:jc w:val="left"/>
            </w:pPr>
            <w:r>
              <w:rPr>
                <w:rFonts w:ascii="Calibri" w:hAnsi="Calibri" w:eastAsia="PingFang SC"/>
                <w:b w:val="0"/>
                <w:i w:val="0"/>
                <w:color w:val="111111"/>
                <w:sz w:val="15"/>
              </w:rPr>
              <w:t>Carr 上下文参考</w:t>
            </w:r>
          </w:p>
        </w:tc>
        <w:tc>
          <w:tcPr>
            <w:tcW w:type="dxa" w:w="1390"/>
            <w:shd w:fill="F8FAFC"/>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5"/>
              </w:rPr>
              <w:t>Carr训练</w:t>
            </w:r>
          </w:p>
        </w:tc>
        <w:tc>
          <w:tcPr>
            <w:tcW w:type="dxa" w:w="1120"/>
            <w:shd w:fill="F8FAFC"/>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5"/>
              </w:rPr>
              <w:t>0.469</w:t>
            </w:r>
          </w:p>
        </w:tc>
        <w:tc>
          <w:tcPr>
            <w:tcW w:type="dxa" w:w="1350"/>
            <w:shd w:fill="F8FAFC"/>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5"/>
              </w:rPr>
              <w:t>0.500</w:t>
            </w:r>
          </w:p>
        </w:tc>
        <w:tc>
          <w:tcPr>
            <w:tcW w:type="dxa" w:w="960"/>
            <w:shd w:fill="F8FAFC"/>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5"/>
              </w:rPr>
              <w:t>0.116</w:t>
            </w:r>
          </w:p>
        </w:tc>
        <w:tc>
          <w:tcPr>
            <w:tcW w:type="dxa" w:w="880"/>
            <w:shd w:fill="F8FAFC"/>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5"/>
              </w:rPr>
              <w:t>0.106</w:t>
            </w:r>
          </w:p>
        </w:tc>
        <w:tc>
          <w:tcPr>
            <w:tcW w:type="dxa" w:w="1270"/>
            <w:shd w:fill="F8FAFC"/>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5"/>
              </w:rPr>
              <w:t>0.021</w:t>
            </w:r>
          </w:p>
        </w:tc>
      </w:tr>
      <w:tr>
        <w:tc>
          <w:tcPr>
            <w:tcW w:type="dxa" w:w="2390"/>
            <w:vAlign w:val="center"/>
            <w:tcMar>
              <w:top w:w="90" w:type="dxa"/>
              <w:start w:w="120" w:type="dxa"/>
              <w:bottom w:w="90" w:type="dxa"/>
              <w:end w:w="120" w:type="dxa"/>
            </w:tcMar>
          </w:tcPr>
          <w:p>
            <w:pPr>
              <w:spacing w:before="0" w:after="0" w:line="259" w:lineRule="auto"/>
              <w:jc w:val="left"/>
            </w:pPr>
            <w:r>
              <w:rPr>
                <w:rFonts w:ascii="Calibri" w:hAnsi="Calibri" w:eastAsia="PingFang SC"/>
                <w:b w:val="0"/>
                <w:i w:val="0"/>
                <w:color w:val="111111"/>
                <w:sz w:val="15"/>
              </w:rPr>
              <w:t>冻结 Irma 上下文模型</w:t>
            </w:r>
          </w:p>
        </w:tc>
        <w:tc>
          <w:tcPr>
            <w:tcW w:type="dxa" w:w="1390"/>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5"/>
              </w:rPr>
              <w:t>Irma训练</w:t>
            </w:r>
          </w:p>
        </w:tc>
        <w:tc>
          <w:tcPr>
            <w:tcW w:type="dxa" w:w="1120"/>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5"/>
              </w:rPr>
              <w:t>0.584</w:t>
            </w:r>
          </w:p>
        </w:tc>
        <w:tc>
          <w:tcPr>
            <w:tcW w:type="dxa" w:w="1350"/>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5"/>
              </w:rPr>
              <w:t>0.679</w:t>
            </w:r>
          </w:p>
        </w:tc>
        <w:tc>
          <w:tcPr>
            <w:tcW w:type="dxa" w:w="960"/>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5"/>
              </w:rPr>
              <w:t>0.201</w:t>
            </w:r>
          </w:p>
        </w:tc>
        <w:tc>
          <w:tcPr>
            <w:tcW w:type="dxa" w:w="880"/>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5"/>
              </w:rPr>
              <w:t>0.321</w:t>
            </w:r>
          </w:p>
        </w:tc>
        <w:tc>
          <w:tcPr>
            <w:tcW w:type="dxa" w:w="1270"/>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5"/>
              </w:rPr>
              <w:t>0.299</w:t>
            </w:r>
          </w:p>
        </w:tc>
      </w:tr>
      <w:tr>
        <w:tc>
          <w:tcPr>
            <w:tcW w:type="dxa" w:w="2390"/>
            <w:shd w:fill="F8FAFC"/>
            <w:vAlign w:val="center"/>
            <w:tcMar>
              <w:top w:w="90" w:type="dxa"/>
              <w:start w:w="120" w:type="dxa"/>
              <w:bottom w:w="90" w:type="dxa"/>
              <w:end w:w="120" w:type="dxa"/>
            </w:tcMar>
          </w:tcPr>
          <w:p>
            <w:pPr>
              <w:spacing w:before="0" w:after="0" w:line="259" w:lineRule="auto"/>
              <w:jc w:val="left"/>
            </w:pPr>
            <w:r>
              <w:rPr>
                <w:rFonts w:ascii="Calibri" w:hAnsi="Calibri" w:eastAsia="PingFang SC"/>
                <w:b w:val="0"/>
                <w:i w:val="0"/>
                <w:color w:val="111111"/>
                <w:sz w:val="15"/>
              </w:rPr>
              <w:t>冻结持续过程</w:t>
            </w:r>
          </w:p>
        </w:tc>
        <w:tc>
          <w:tcPr>
            <w:tcW w:type="dxa" w:w="1390"/>
            <w:shd w:fill="F8FAFC"/>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5"/>
              </w:rPr>
              <w:t>Irma训练</w:t>
            </w:r>
          </w:p>
        </w:tc>
        <w:tc>
          <w:tcPr>
            <w:tcW w:type="dxa" w:w="1120"/>
            <w:shd w:fill="F8FAFC"/>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5"/>
              </w:rPr>
              <w:t>0.595</w:t>
            </w:r>
          </w:p>
        </w:tc>
        <w:tc>
          <w:tcPr>
            <w:tcW w:type="dxa" w:w="1350"/>
            <w:shd w:fill="F8FAFC"/>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5"/>
              </w:rPr>
              <w:t>0.650</w:t>
            </w:r>
          </w:p>
        </w:tc>
        <w:tc>
          <w:tcPr>
            <w:tcW w:type="dxa" w:w="960"/>
            <w:shd w:fill="F8FAFC"/>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5"/>
              </w:rPr>
              <w:t>0.197</w:t>
            </w:r>
          </w:p>
        </w:tc>
        <w:tc>
          <w:tcPr>
            <w:tcW w:type="dxa" w:w="880"/>
            <w:shd w:fill="F8FAFC"/>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5"/>
              </w:rPr>
              <w:t>0.285</w:t>
            </w:r>
          </w:p>
        </w:tc>
        <w:tc>
          <w:tcPr>
            <w:tcW w:type="dxa" w:w="1270"/>
            <w:shd w:fill="F8FAFC"/>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5"/>
              </w:rPr>
              <w:t>0.285</w:t>
            </w:r>
          </w:p>
        </w:tc>
      </w:tr>
      <w:tr>
        <w:tc>
          <w:tcPr>
            <w:tcW w:type="dxa" w:w="2390"/>
            <w:vAlign w:val="center"/>
            <w:tcMar>
              <w:top w:w="90" w:type="dxa"/>
              <w:start w:w="120" w:type="dxa"/>
              <w:bottom w:w="90" w:type="dxa"/>
              <w:end w:w="120" w:type="dxa"/>
            </w:tcMar>
          </w:tcPr>
          <w:p>
            <w:pPr>
              <w:spacing w:before="0" w:after="0" w:line="259" w:lineRule="auto"/>
              <w:jc w:val="left"/>
            </w:pPr>
            <w:r>
              <w:rPr>
                <w:rFonts w:ascii="Calibri" w:hAnsi="Calibri" w:eastAsia="PingFang SC"/>
                <w:b w:val="0"/>
                <w:i w:val="0"/>
                <w:color w:val="111111"/>
                <w:sz w:val="15"/>
              </w:rPr>
              <w:t>Carr截距+时间适配</w:t>
            </w:r>
          </w:p>
        </w:tc>
        <w:tc>
          <w:tcPr>
            <w:tcW w:type="dxa" w:w="1390"/>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5"/>
              </w:rPr>
              <w:t>Irma+Carr训练</w:t>
            </w:r>
          </w:p>
        </w:tc>
        <w:tc>
          <w:tcPr>
            <w:tcW w:type="dxa" w:w="1120"/>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5"/>
              </w:rPr>
              <w:t>0.469</w:t>
            </w:r>
          </w:p>
        </w:tc>
        <w:tc>
          <w:tcPr>
            <w:tcW w:type="dxa" w:w="1350"/>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5"/>
              </w:rPr>
              <w:t>0.500</w:t>
            </w:r>
          </w:p>
        </w:tc>
        <w:tc>
          <w:tcPr>
            <w:tcW w:type="dxa" w:w="960"/>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5"/>
              </w:rPr>
              <w:t>0.103</w:t>
            </w:r>
          </w:p>
        </w:tc>
        <w:tc>
          <w:tcPr>
            <w:tcW w:type="dxa" w:w="880"/>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5"/>
              </w:rPr>
              <w:t>0.038</w:t>
            </w:r>
          </w:p>
        </w:tc>
        <w:tc>
          <w:tcPr>
            <w:tcW w:type="dxa" w:w="1270"/>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5"/>
              </w:rPr>
              <w:t>0.0029</w:t>
            </w:r>
          </w:p>
        </w:tc>
      </w:tr>
    </w:tbl>
    <w:p>
      <w:pPr>
        <w:spacing w:after="60"/>
      </w:pPr>
    </w:p>
    <w:p>
      <w:pPr>
        <w:spacing w:before="60" w:after="180"/>
        <w:jc w:val="center"/>
      </w:pPr>
      <w:r>
        <w:rPr>
          <w:rFonts w:ascii="Calibri" w:hAnsi="Calibri" w:eastAsia="PingFang SC"/>
          <w:b w:val="0"/>
          <w:i w:val="0"/>
          <w:color w:val="6B7280"/>
          <w:sz w:val="18"/>
        </w:rPr>
        <w:t>表5  Carr 结果：冻结迁移与目标训练鲁棒性</w:t>
      </w:r>
    </w:p>
    <w:p>
      <w:pPr>
        <w:keepLines w:val="0"/>
        <w:spacing w:before="0" w:after="140" w:line="312" w:lineRule="auto"/>
        <w:jc w:val="both"/>
      </w:pPr>
      <w:r>
        <w:rPr>
          <w:rFonts w:ascii="Calibri" w:hAnsi="Calibri" w:eastAsia="PingFang SC"/>
          <w:b w:val="0"/>
          <w:i w:val="0"/>
          <w:color w:val="111111"/>
          <w:sz w:val="21"/>
        </w:rPr>
        <w:t>Carr 测试集真实撤离比例为 0.882，显著高于 Irma 队列的 0.483。冻结的 Irma 上下文倾向模型在 Carr 上仍保留一定家庭排序能力，Macro-F1 为 0.584、平衡准确率为 0.679，但预测总体比例只有 0.584。冻结持续过程的 Macro-F1 为 0.595、总体比例为 0.597。相对上下文倾向模型，其 Macro-F1 效应仅为 +0.012，95% 区间为 [−0.087, 0.092]；Brier 改善为 0.004，区间为 [−0.013, 0.022]，均不能得出显著优势。</w:t>
      </w:r>
    </w:p>
    <w:p>
      <w:pPr>
        <w:keepLines w:val="0"/>
        <w:spacing w:before="0" w:after="140" w:line="312" w:lineRule="auto"/>
        <w:jc w:val="both"/>
      </w:pPr>
      <w:r>
        <w:rPr>
          <w:rFonts w:ascii="Calibri" w:hAnsi="Calibri" w:eastAsia="PingFang SC"/>
          <w:b w:val="0"/>
          <w:i w:val="0"/>
          <w:color w:val="111111"/>
          <w:sz w:val="21"/>
        </w:rPr>
        <w:t>该结果区分了“排序能力”和“事件基准率校准”。冻结模型可以正确排序部分 Carr 家庭，但把总体比例低估了 0.285。只使用 Carr 训练集拟合截距后，过程集成比例提高到 0.885，与真实 0.882 的误差仅为 0.0029，Brier 降至 0.103。由于高基准率使几乎所有家庭概率都超过 0.5，Macro-F1 反而回落到多数类水平。这是一项总体校准修复，而不是个体分类性能提升。</w:t>
      </w:r>
    </w:p>
    <w:p>
      <w:pPr>
        <w:pStyle w:val="Heading2"/>
        <w:keepNext/>
      </w:pPr>
      <w:r>
        <w:rPr>
          <w:rFonts w:ascii="Calibri" w:hAnsi="Calibri" w:eastAsia="PingFang SC"/>
          <w:b/>
          <w:i w:val="0"/>
          <w:color w:val="2E74B5"/>
          <w:sz w:val="26"/>
        </w:rPr>
        <w:t>6.4 撤离时间与适配器分辨率</w:t>
      </w:r>
    </w:p>
    <w:tbl>
      <w:tblPr>
        <w:tblStyle w:val="TableGrid"/>
        <w:tblW w:type="dxa" w:w="9360"/>
        <w:jc w:val="center"/>
        <w:tblLayout w:type="fixed"/>
        <w:tblLook w:firstColumn="1" w:firstRow="1" w:lastColumn="0" w:lastRow="0" w:noHBand="0" w:noVBand="1" w:val="04A0"/>
        <w:tblInd w:w="120" w:type="dxa"/>
      </w:tblPr>
      <w:tblGrid>
        <w:gridCol w:w="2050"/>
        <w:gridCol w:w="1450"/>
        <w:gridCol w:w="1000"/>
        <w:gridCol w:w="1920"/>
        <w:gridCol w:w="1250"/>
        <w:gridCol w:w="1690"/>
      </w:tblGrid>
      <w:tr>
        <w:trPr>
          <w:tblHeader w:val="true"/>
        </w:trPr>
        <w:tc>
          <w:tcPr>
            <w:tcW w:type="dxa" w:w="2050"/>
            <w:shd w:fill="EAF2F8"/>
            <w:vAlign w:val="center"/>
            <w:tcMar>
              <w:top w:w="90" w:type="dxa"/>
              <w:start w:w="120" w:type="dxa"/>
              <w:bottom w:w="90" w:type="dxa"/>
              <w:end w:w="120" w:type="dxa"/>
            </w:tcMar>
          </w:tcPr>
          <w:p>
            <w:pPr>
              <w:spacing w:after="0"/>
              <w:jc w:val="center"/>
            </w:pPr>
            <w:r>
              <w:rPr>
                <w:rFonts w:ascii="Calibri" w:hAnsi="Calibri" w:eastAsia="PingFang SC"/>
                <w:b/>
                <w:i w:val="0"/>
                <w:color w:val="17365D"/>
                <w:sz w:val="16"/>
              </w:rPr>
              <w:t>条件</w:t>
            </w:r>
          </w:p>
        </w:tc>
        <w:tc>
          <w:tcPr>
            <w:tcW w:type="dxa" w:w="1450"/>
            <w:shd w:fill="EAF2F8"/>
            <w:vAlign w:val="center"/>
            <w:tcMar>
              <w:top w:w="90" w:type="dxa"/>
              <w:start w:w="120" w:type="dxa"/>
              <w:bottom w:w="90" w:type="dxa"/>
              <w:end w:w="120" w:type="dxa"/>
            </w:tcMar>
          </w:tcPr>
          <w:p>
            <w:pPr>
              <w:spacing w:after="0"/>
              <w:jc w:val="center"/>
            </w:pPr>
            <w:r>
              <w:rPr>
                <w:rFonts w:ascii="Calibri" w:hAnsi="Calibri" w:eastAsia="PingFang SC"/>
                <w:b/>
                <w:i w:val="0"/>
                <w:color w:val="17365D"/>
                <w:sz w:val="16"/>
              </w:rPr>
              <w:t>时间拟合</w:t>
            </w:r>
          </w:p>
        </w:tc>
        <w:tc>
          <w:tcPr>
            <w:tcW w:type="dxa" w:w="1000"/>
            <w:shd w:fill="EAF2F8"/>
            <w:vAlign w:val="center"/>
            <w:tcMar>
              <w:top w:w="90" w:type="dxa"/>
              <w:start w:w="120" w:type="dxa"/>
              <w:bottom w:w="90" w:type="dxa"/>
              <w:end w:w="120" w:type="dxa"/>
            </w:tcMar>
          </w:tcPr>
          <w:p>
            <w:pPr>
              <w:spacing w:after="0"/>
              <w:jc w:val="center"/>
            </w:pPr>
            <w:r>
              <w:rPr>
                <w:rFonts w:ascii="Calibri" w:hAnsi="Calibri" w:eastAsia="PingFang SC"/>
                <w:b/>
                <w:i w:val="0"/>
                <w:color w:val="17365D"/>
                <w:sz w:val="16"/>
              </w:rPr>
              <w:t>步长</w:t>
            </w:r>
          </w:p>
        </w:tc>
        <w:tc>
          <w:tcPr>
            <w:tcW w:type="dxa" w:w="1920"/>
            <w:shd w:fill="EAF2F8"/>
            <w:vAlign w:val="center"/>
            <w:tcMar>
              <w:top w:w="90" w:type="dxa"/>
              <w:start w:w="120" w:type="dxa"/>
              <w:bottom w:w="90" w:type="dxa"/>
              <w:end w:w="120" w:type="dxa"/>
            </w:tcMar>
          </w:tcPr>
          <w:p>
            <w:pPr>
              <w:spacing w:after="0"/>
              <w:jc w:val="center"/>
            </w:pPr>
            <w:r>
              <w:rPr>
                <w:rFonts w:ascii="Calibri" w:hAnsi="Calibri" w:eastAsia="PingFang SC"/>
                <w:b/>
                <w:i w:val="0"/>
                <w:color w:val="17365D"/>
                <w:sz w:val="16"/>
              </w:rPr>
              <w:t>Wasserstein/小时</w:t>
            </w:r>
          </w:p>
        </w:tc>
        <w:tc>
          <w:tcPr>
            <w:tcW w:type="dxa" w:w="1250"/>
            <w:shd w:fill="EAF2F8"/>
            <w:vAlign w:val="center"/>
            <w:tcMar>
              <w:top w:w="90" w:type="dxa"/>
              <w:start w:w="120" w:type="dxa"/>
              <w:bottom w:w="90" w:type="dxa"/>
              <w:end w:w="120" w:type="dxa"/>
            </w:tcMar>
          </w:tcPr>
          <w:p>
            <w:pPr>
              <w:spacing w:after="0"/>
              <w:jc w:val="center"/>
            </w:pPr>
            <w:r>
              <w:rPr>
                <w:rFonts w:ascii="Calibri" w:hAnsi="Calibri" w:eastAsia="PingFang SC"/>
                <w:b/>
                <w:i w:val="0"/>
                <w:color w:val="17365D"/>
                <w:sz w:val="16"/>
              </w:rPr>
              <w:t>CDF IAE</w:t>
            </w:r>
          </w:p>
        </w:tc>
        <w:tc>
          <w:tcPr>
            <w:tcW w:type="dxa" w:w="1690"/>
            <w:shd w:fill="EAF2F8"/>
            <w:vAlign w:val="center"/>
            <w:tcMar>
              <w:top w:w="90" w:type="dxa"/>
              <w:start w:w="120" w:type="dxa"/>
              <w:bottom w:w="90" w:type="dxa"/>
              <w:end w:w="120" w:type="dxa"/>
            </w:tcMar>
          </w:tcPr>
          <w:p>
            <w:pPr>
              <w:spacing w:after="0"/>
              <w:jc w:val="center"/>
            </w:pPr>
            <w:r>
              <w:rPr>
                <w:rFonts w:ascii="Calibri" w:hAnsi="Calibri" w:eastAsia="PingFang SC"/>
                <w:b/>
                <w:i w:val="0"/>
                <w:color w:val="17365D"/>
                <w:sz w:val="16"/>
              </w:rPr>
              <w:t>平均误差/小时</w:t>
            </w:r>
          </w:p>
        </w:tc>
      </w:tr>
      <w:tr>
        <w:tc>
          <w:tcPr>
            <w:tcW w:type="dxa" w:w="2050"/>
            <w:vAlign w:val="center"/>
            <w:tcMar>
              <w:top w:w="90" w:type="dxa"/>
              <w:start w:w="120" w:type="dxa"/>
              <w:bottom w:w="90" w:type="dxa"/>
              <w:end w:w="120" w:type="dxa"/>
            </w:tcMar>
          </w:tcPr>
          <w:p>
            <w:pPr>
              <w:spacing w:before="0" w:after="0" w:line="259" w:lineRule="auto"/>
              <w:jc w:val="left"/>
            </w:pPr>
            <w:r>
              <w:rPr>
                <w:rFonts w:ascii="Calibri" w:hAnsi="Calibri" w:eastAsia="PingFang SC"/>
                <w:b w:val="0"/>
                <w:i w:val="0"/>
                <w:color w:val="111111"/>
                <w:sz w:val="16"/>
              </w:rPr>
              <w:t>冻结迁移</w:t>
            </w:r>
          </w:p>
        </w:tc>
        <w:tc>
          <w:tcPr>
            <w:tcW w:type="dxa" w:w="1450"/>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6"/>
              </w:rPr>
              <w:t>Irma训练</w:t>
            </w:r>
          </w:p>
        </w:tc>
        <w:tc>
          <w:tcPr>
            <w:tcW w:type="dxa" w:w="1000"/>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6"/>
              </w:rPr>
              <w:t>12小时</w:t>
            </w:r>
          </w:p>
        </w:tc>
        <w:tc>
          <w:tcPr>
            <w:tcW w:type="dxa" w:w="1920"/>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6"/>
              </w:rPr>
              <w:t>27.41</w:t>
            </w:r>
          </w:p>
        </w:tc>
        <w:tc>
          <w:tcPr>
            <w:tcW w:type="dxa" w:w="1250"/>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6"/>
              </w:rPr>
              <w:t>0.2561</w:t>
            </w:r>
          </w:p>
        </w:tc>
        <w:tc>
          <w:tcPr>
            <w:tcW w:type="dxa" w:w="1690"/>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6"/>
              </w:rPr>
              <w:t>25.10</w:t>
            </w:r>
          </w:p>
        </w:tc>
      </w:tr>
      <w:tr>
        <w:tc>
          <w:tcPr>
            <w:tcW w:type="dxa" w:w="2050"/>
            <w:shd w:fill="F8FAFC"/>
            <w:vAlign w:val="center"/>
            <w:tcMar>
              <w:top w:w="90" w:type="dxa"/>
              <w:start w:w="120" w:type="dxa"/>
              <w:bottom w:w="90" w:type="dxa"/>
              <w:end w:w="120" w:type="dxa"/>
            </w:tcMar>
          </w:tcPr>
          <w:p>
            <w:pPr>
              <w:spacing w:before="0" w:after="0" w:line="259" w:lineRule="auto"/>
              <w:jc w:val="left"/>
            </w:pPr>
            <w:r>
              <w:rPr>
                <w:rFonts w:ascii="Calibri" w:hAnsi="Calibri" w:eastAsia="PingFang SC"/>
                <w:b w:val="0"/>
                <w:i w:val="0"/>
                <w:color w:val="111111"/>
                <w:sz w:val="16"/>
              </w:rPr>
              <w:t>仅时间适配</w:t>
            </w:r>
          </w:p>
        </w:tc>
        <w:tc>
          <w:tcPr>
            <w:tcW w:type="dxa" w:w="1450"/>
            <w:shd w:fill="F8FAFC"/>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6"/>
              </w:rPr>
              <w:t>Carr训练</w:t>
            </w:r>
          </w:p>
        </w:tc>
        <w:tc>
          <w:tcPr>
            <w:tcW w:type="dxa" w:w="1000"/>
            <w:shd w:fill="F8FAFC"/>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6"/>
              </w:rPr>
              <w:t>12小时</w:t>
            </w:r>
          </w:p>
        </w:tc>
        <w:tc>
          <w:tcPr>
            <w:tcW w:type="dxa" w:w="1920"/>
            <w:shd w:fill="F8FAFC"/>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6"/>
              </w:rPr>
              <w:t>8.00</w:t>
            </w:r>
          </w:p>
        </w:tc>
        <w:tc>
          <w:tcPr>
            <w:tcW w:type="dxa" w:w="1250"/>
            <w:shd w:fill="F8FAFC"/>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6"/>
              </w:rPr>
              <w:t>0.0676</w:t>
            </w:r>
          </w:p>
        </w:tc>
        <w:tc>
          <w:tcPr>
            <w:tcW w:type="dxa" w:w="1690"/>
            <w:shd w:fill="F8FAFC"/>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6"/>
              </w:rPr>
              <w:t>3.43</w:t>
            </w:r>
          </w:p>
        </w:tc>
      </w:tr>
      <w:tr>
        <w:tc>
          <w:tcPr>
            <w:tcW w:type="dxa" w:w="2050"/>
            <w:vAlign w:val="center"/>
            <w:tcMar>
              <w:top w:w="90" w:type="dxa"/>
              <w:start w:w="120" w:type="dxa"/>
              <w:bottom w:w="90" w:type="dxa"/>
              <w:end w:w="120" w:type="dxa"/>
            </w:tcMar>
          </w:tcPr>
          <w:p>
            <w:pPr>
              <w:spacing w:before="0" w:after="0" w:line="259" w:lineRule="auto"/>
              <w:jc w:val="left"/>
            </w:pPr>
            <w:r>
              <w:rPr>
                <w:rFonts w:ascii="Calibri" w:hAnsi="Calibri" w:eastAsia="PingFang SC"/>
                <w:b w:val="0"/>
                <w:i w:val="0"/>
                <w:color w:val="111111"/>
                <w:sz w:val="16"/>
              </w:rPr>
              <w:t>截距+时间适配</w:t>
            </w:r>
          </w:p>
        </w:tc>
        <w:tc>
          <w:tcPr>
            <w:tcW w:type="dxa" w:w="1450"/>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6"/>
              </w:rPr>
              <w:t>Carr训练</w:t>
            </w:r>
          </w:p>
        </w:tc>
        <w:tc>
          <w:tcPr>
            <w:tcW w:type="dxa" w:w="1000"/>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6"/>
              </w:rPr>
              <w:t>12小时</w:t>
            </w:r>
          </w:p>
        </w:tc>
        <w:tc>
          <w:tcPr>
            <w:tcW w:type="dxa" w:w="1920"/>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6"/>
              </w:rPr>
              <w:t>7.40</w:t>
            </w:r>
          </w:p>
        </w:tc>
        <w:tc>
          <w:tcPr>
            <w:tcW w:type="dxa" w:w="1250"/>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6"/>
              </w:rPr>
              <w:t>0.0628</w:t>
            </w:r>
          </w:p>
        </w:tc>
        <w:tc>
          <w:tcPr>
            <w:tcW w:type="dxa" w:w="1690"/>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6"/>
              </w:rPr>
              <w:t>2.56</w:t>
            </w:r>
          </w:p>
        </w:tc>
      </w:tr>
      <w:tr>
        <w:tc>
          <w:tcPr>
            <w:tcW w:type="dxa" w:w="2050"/>
            <w:shd w:fill="F8FAFC"/>
            <w:vAlign w:val="center"/>
            <w:tcMar>
              <w:top w:w="90" w:type="dxa"/>
              <w:start w:w="120" w:type="dxa"/>
              <w:bottom w:w="90" w:type="dxa"/>
              <w:end w:w="120" w:type="dxa"/>
            </w:tcMar>
          </w:tcPr>
          <w:p>
            <w:pPr>
              <w:spacing w:before="0" w:after="0" w:line="259" w:lineRule="auto"/>
              <w:jc w:val="left"/>
            </w:pPr>
            <w:r>
              <w:rPr>
                <w:rFonts w:ascii="Calibri" w:hAnsi="Calibri" w:eastAsia="PingFang SC"/>
                <w:b w:val="0"/>
                <w:i w:val="0"/>
                <w:color w:val="111111"/>
                <w:sz w:val="16"/>
              </w:rPr>
              <w:t>截距+时间适配</w:t>
            </w:r>
          </w:p>
        </w:tc>
        <w:tc>
          <w:tcPr>
            <w:tcW w:type="dxa" w:w="1450"/>
            <w:shd w:fill="F8FAFC"/>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6"/>
              </w:rPr>
              <w:t>Carr训练</w:t>
            </w:r>
          </w:p>
        </w:tc>
        <w:tc>
          <w:tcPr>
            <w:tcW w:type="dxa" w:w="1000"/>
            <w:shd w:fill="F8FAFC"/>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6"/>
              </w:rPr>
              <w:t>6小时</w:t>
            </w:r>
          </w:p>
        </w:tc>
        <w:tc>
          <w:tcPr>
            <w:tcW w:type="dxa" w:w="1920"/>
            <w:shd w:fill="F8FAFC"/>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6"/>
              </w:rPr>
              <w:t>5.49</w:t>
            </w:r>
          </w:p>
        </w:tc>
        <w:tc>
          <w:tcPr>
            <w:tcW w:type="dxa" w:w="1250"/>
            <w:shd w:fill="F8FAFC"/>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6"/>
              </w:rPr>
              <w:t>0.0446</w:t>
            </w:r>
          </w:p>
        </w:tc>
        <w:tc>
          <w:tcPr>
            <w:tcW w:type="dxa" w:w="1690"/>
            <w:shd w:fill="F8FAFC"/>
            <w:vAlign w:val="center"/>
            <w:tcMar>
              <w:top w:w="90" w:type="dxa"/>
              <w:start w:w="120" w:type="dxa"/>
              <w:bottom w:w="90" w:type="dxa"/>
              <w:end w:w="120" w:type="dxa"/>
            </w:tcMar>
          </w:tcPr>
          <w:p>
            <w:pPr>
              <w:spacing w:before="0" w:after="0" w:line="259" w:lineRule="auto"/>
              <w:jc w:val="center"/>
            </w:pPr>
            <w:r>
              <w:rPr>
                <w:rFonts w:ascii="Calibri" w:hAnsi="Calibri" w:eastAsia="PingFang SC"/>
                <w:b w:val="0"/>
                <w:i w:val="0"/>
                <w:color w:val="111111"/>
                <w:sz w:val="16"/>
              </w:rPr>
              <w:t>2.73</w:t>
            </w:r>
          </w:p>
        </w:tc>
      </w:tr>
    </w:tbl>
    <w:p>
      <w:pPr>
        <w:spacing w:after="60"/>
      </w:pPr>
    </w:p>
    <w:p>
      <w:pPr>
        <w:spacing w:before="60" w:after="180"/>
        <w:jc w:val="center"/>
      </w:pPr>
      <w:r>
        <w:rPr>
          <w:rFonts w:ascii="Calibri" w:hAnsi="Calibri" w:eastAsia="PingFang SC"/>
          <w:b w:val="0"/>
          <w:i w:val="0"/>
          <w:color w:val="6B7280"/>
          <w:sz w:val="18"/>
        </w:rPr>
        <w:t>表6  Carr 撤离时间重建</w:t>
      </w:r>
    </w:p>
    <w:p>
      <w:pPr>
        <w:keepLines w:val="0"/>
        <w:spacing w:before="0" w:after="140" w:line="312" w:lineRule="auto"/>
        <w:jc w:val="both"/>
      </w:pPr>
      <w:r>
        <w:rPr>
          <w:rFonts w:ascii="Calibri" w:hAnsi="Calibri" w:eastAsia="PingFang SC"/>
          <w:b w:val="0"/>
          <w:i w:val="0"/>
          <w:color w:val="111111"/>
          <w:sz w:val="21"/>
        </w:rPr>
        <w:t>冻结的 Irma 时间分布迁移较差：Wasserstein 距离为 27.41 小时，CDF IAE 为 0.256。仅用 Carr 训练集替换时间权重后，Wasserstein 降到 8.00 小时，且不改变结果集成。联合截距与时间适配的 12 小时条件为 7.40 小时。保持拟合组件不变、把时间步长从 12 小时缩短到 6 小时后，Wasserstein 进一步降至 5.49 小时，CDF IAE 降至 0.0446。分辨率提升带来的配对 Wasserstein 改善为 1.91 小时，95% 种子区间为 [1.11, 2.69]。</w:t>
      </w:r>
    </w:p>
    <w:p>
      <w:pPr>
        <w:keepLines w:val="0"/>
        <w:spacing w:before="0" w:after="140" w:line="312" w:lineRule="auto"/>
        <w:jc w:val="both"/>
      </w:pPr>
      <w:r>
        <w:rPr>
          <w:rFonts w:ascii="Calibri" w:hAnsi="Calibri" w:eastAsia="PingFang SC"/>
          <w:b w:val="0"/>
          <w:i w:val="0"/>
          <w:color w:val="111111"/>
          <w:sz w:val="21"/>
        </w:rPr>
        <w:t>六小时条件把状态转移数从 3,060 增至 6,120，把记录的策略决策数从 2,376 增至 4,474；其结果指标与 12 小时联合适配条件完全一致。训练集交叉验证没有选择高斯平滑，因此平滑不作为独立实验条件。12 小时配置仍是默认的总体校准过程；6 小时配置只用于高分辨率时间分析。</w:t>
      </w:r>
    </w:p>
    <w:p>
      <w:pPr>
        <w:pStyle w:val="Heading2"/>
        <w:keepNext/>
      </w:pPr>
      <w:r>
        <w:rPr>
          <w:rFonts w:ascii="Calibri" w:hAnsi="Calibri" w:eastAsia="PingFang SC"/>
          <w:b/>
          <w:i w:val="0"/>
          <w:color w:val="2E74B5"/>
          <w:sz w:val="26"/>
        </w:rPr>
        <w:t>6.5 序列合法性与过程诊断</w:t>
      </w:r>
    </w:p>
    <w:p>
      <w:pPr>
        <w:keepLines w:val="0"/>
        <w:spacing w:before="0" w:after="140" w:line="312" w:lineRule="auto"/>
        <w:jc w:val="both"/>
      </w:pPr>
      <w:r>
        <w:rPr>
          <w:rFonts w:ascii="Calibri" w:hAnsi="Calibri" w:eastAsia="PingFang SC"/>
          <w:b w:val="0"/>
          <w:i w:val="0"/>
          <w:color w:val="111111"/>
          <w:sz w:val="21"/>
        </w:rPr>
        <w:t>Irma 校准过程的五次主运行均无非法执行。约 68.4% 的逐时刻控制器评估发生在合法撤离前风险集合之外，对应的时间质量因此被延期。在已经进入风险集合且智能体声明准备完成的决策中，平均“风险尚未触发”比例为 0.891。这说明准备度与事件实际实现是两个不同量。主 Irma 配置的 PADM 证据响应率和来源评估覆盖率均为 1.0，重复动作率为 0.412。</w:t>
      </w:r>
    </w:p>
    <w:p>
      <w:pPr>
        <w:keepLines w:val="0"/>
        <w:spacing w:before="0" w:after="140" w:line="312" w:lineRule="auto"/>
        <w:jc w:val="both"/>
      </w:pPr>
      <w:r>
        <w:rPr>
          <w:rFonts w:ascii="Calibri" w:hAnsi="Calibri" w:eastAsia="PingFang SC"/>
          <w:b w:val="0"/>
          <w:i w:val="0"/>
          <w:color w:val="111111"/>
          <w:sz w:val="21"/>
        </w:rPr>
        <w:t>Irma 撤离时间重建仍然偏弱。42 个具有时间标签的真实撤离中，有 10 个发生在选定公共信号之前，因此不参与信号后的时间归因。对其余撤离，12 小时过程的 Wasserstein 距离为 17.69 小时，CDF IAE 为 0.231，平均时间误差为 16.52 小时。该轨迹在程序上可以合法执行，但当前公共信号和粗粒度时间模型不能准确重建 Irma 的撤离时刻。</w:t>
      </w:r>
    </w:p>
    <w:p>
      <w:pPr>
        <w:keepLines w:val="0"/>
        <w:spacing w:before="0" w:after="140" w:line="312" w:lineRule="auto"/>
        <w:jc w:val="both"/>
      </w:pPr>
      <w:r>
        <w:rPr>
          <w:rFonts w:ascii="Calibri" w:hAnsi="Calibri" w:eastAsia="PingFang SC"/>
          <w:b w:val="0"/>
          <w:i w:val="0"/>
          <w:color w:val="111111"/>
          <w:sz w:val="21"/>
        </w:rPr>
        <w:t>五个冻结 Carr 迁移运行包含 3,060 次状态转移，没有时间泄漏、动作拒绝或回退。12 小时联合适配同样包含 3,060 次合法转移；6 小时条件包含 6,120 次合法转移。这些检查证明的是仿真器有效性，而不是行为真实性。</w:t>
      </w:r>
    </w:p>
    <w:p>
      <w:pPr>
        <w:pStyle w:val="Heading1"/>
        <w:keepNext/>
      </w:pPr>
      <w:r>
        <w:rPr>
          <w:rFonts w:ascii="Calibri" w:hAnsi="Calibri" w:eastAsia="PingFang SC"/>
          <w:b/>
          <w:i w:val="0"/>
          <w:color w:val="2E74B5"/>
          <w:sz w:val="32"/>
        </w:rPr>
        <w:t>7 讨论</w:t>
      </w:r>
    </w:p>
    <w:p>
      <w:pPr>
        <w:pStyle w:val="Heading2"/>
        <w:keepNext/>
      </w:pPr>
      <w:r>
        <w:rPr>
          <w:rFonts w:ascii="Calibri" w:hAnsi="Calibri" w:eastAsia="PingFang SC"/>
          <w:b/>
          <w:i w:val="0"/>
          <w:color w:val="2E74B5"/>
          <w:sz w:val="26"/>
        </w:rPr>
        <w:t>7.1 现有结果真正支持什么</w:t>
      </w:r>
    </w:p>
    <w:p>
      <w:pPr>
        <w:keepLines w:val="0"/>
        <w:spacing w:before="0" w:after="140" w:line="312" w:lineRule="auto"/>
        <w:jc w:val="both"/>
      </w:pPr>
      <w:r>
        <w:rPr>
          <w:rFonts w:ascii="Calibri" w:hAnsi="Calibri" w:eastAsia="PingFang SC"/>
          <w:b w:val="0"/>
          <w:i w:val="0"/>
          <w:color w:val="111111"/>
          <w:sz w:val="21"/>
        </w:rPr>
        <w:t>最清晰的机制证据来自持续状态消融。无状态策略不能跨时刻维持准备过程，也无法稳定进入合法撤离风险集合。持续保存阶段和 PADM 认知后，Macro-F1 提高 0.331，且置信区间不跨零。这一效应证明持续性在当前仿真器中的价值，但不能被扩张为对所有 LLM 智能体任务的普遍结论。</w:t>
      </w:r>
    </w:p>
    <w:p>
      <w:pPr>
        <w:keepLines w:val="0"/>
        <w:spacing w:before="0" w:after="140" w:line="312" w:lineRule="auto"/>
        <w:jc w:val="both"/>
      </w:pPr>
      <w:r>
        <w:rPr>
          <w:rFonts w:ascii="Calibri" w:hAnsi="Calibri" w:eastAsia="PingFang SC"/>
          <w:b w:val="0"/>
          <w:i w:val="0"/>
          <w:color w:val="111111"/>
          <w:sz w:val="21"/>
        </w:rPr>
        <w:t>Irma 主实验给出了另一类结果：持续过程在总体比例和 ECE 点估计上更接近调查数据，但 Brier 略差，Macro-F1 置信区间跨零。总体校准与个体分类不能互相替代。一个过程模型可能生成更有用的群体实现，但并不因此成为更好的监督分类器。</w:t>
      </w:r>
    </w:p>
    <w:p>
      <w:pPr>
        <w:keepLines w:val="0"/>
        <w:spacing w:before="0" w:after="140" w:line="312" w:lineRule="auto"/>
        <w:jc w:val="both"/>
      </w:pPr>
      <w:r>
        <w:rPr>
          <w:rFonts w:ascii="Calibri" w:hAnsi="Calibri" w:eastAsia="PingFang SC"/>
          <w:b w:val="0"/>
          <w:i w:val="0"/>
          <w:color w:val="111111"/>
          <w:sz w:val="21"/>
        </w:rPr>
        <w:t>Carr 实验揭示了跨灾种迁移的边界。Irma 训练的家庭斜率保留了一部分区分能力，但 Carr 具有完全不同的总体基准率和撤离时间分布。一个仅用目标训练集拟合的截距和时间直方图就能修复这些量，而无需改变通用智能体状态和动作契约。因此，可复用对象不是“一套对所有灾害都固定的概率分布”，而是“共享认知—执行核心加显式灾害与事件适配器”。</w:t>
      </w:r>
    </w:p>
    <w:p>
      <w:pPr>
        <w:pStyle w:val="Heading2"/>
        <w:keepNext/>
      </w:pPr>
      <w:r>
        <w:rPr>
          <w:rFonts w:ascii="Calibri" w:hAnsi="Calibri" w:eastAsia="PingFang SC"/>
          <w:b/>
          <w:i w:val="0"/>
          <w:color w:val="2E74B5"/>
          <w:sz w:val="26"/>
        </w:rPr>
        <w:t>7.2 为什么更多认知模块没有提高预测</w:t>
      </w:r>
    </w:p>
    <w:p>
      <w:pPr>
        <w:keepLines w:val="0"/>
        <w:spacing w:before="0" w:after="140" w:line="312" w:lineRule="auto"/>
        <w:jc w:val="both"/>
      </w:pPr>
      <w:r>
        <w:rPr>
          <w:rFonts w:ascii="Calibri" w:hAnsi="Calibri" w:eastAsia="PingFang SC"/>
          <w:b w:val="0"/>
          <w:i w:val="0"/>
          <w:color w:val="111111"/>
          <w:sz w:val="21"/>
        </w:rPr>
        <w:t>完整持续配置包含执行反馈、结构化记忆和计划修订，但并未优于仅持续状态。可能原因包括：Irma 的 72 小时短窗口不需要长期记忆检索；可用公共信号本身稀疏，丰富记忆无法创造不存在的证据；总体控制器已经决定了有限窗口内的大部分结果分布，使认知模块更可能改变序列质量而不是最终标签。当前定量数据无法识别这种序列质量收益。</w:t>
      </w:r>
    </w:p>
    <w:p>
      <w:pPr>
        <w:keepLines w:val="0"/>
        <w:spacing w:before="0" w:after="140" w:line="312" w:lineRule="auto"/>
        <w:jc w:val="both"/>
      </w:pPr>
      <w:r>
        <w:rPr>
          <w:rFonts w:ascii="Calibri" w:hAnsi="Calibri" w:eastAsia="PingFang SC"/>
          <w:b w:val="0"/>
          <w:i w:val="0"/>
          <w:color w:val="111111"/>
          <w:sz w:val="21"/>
        </w:rPr>
        <w:t>因此，本文不把记忆、反馈和计划修订列为已经独立验证的贡献。它们仍是具有明确输入、输出和诊断接口的可选机制。这一负结果具有价值，因为它阻止我们把架构复杂度错误地包装成经验证的科学贡献。</w:t>
      </w:r>
    </w:p>
    <w:p>
      <w:pPr>
        <w:pStyle w:val="Heading2"/>
        <w:keepNext/>
      </w:pPr>
      <w:r>
        <w:rPr>
          <w:rFonts w:ascii="Calibri" w:hAnsi="Calibri" w:eastAsia="PingFang SC"/>
          <w:b/>
          <w:i w:val="0"/>
          <w:color w:val="2E74B5"/>
          <w:sz w:val="26"/>
        </w:rPr>
        <w:t>7.3 对生成式社会仿真的启示</w:t>
      </w:r>
    </w:p>
    <w:p>
      <w:pPr>
        <w:keepLines w:val="0"/>
        <w:spacing w:before="0" w:after="140" w:line="312" w:lineRule="auto"/>
        <w:jc w:val="both"/>
      </w:pPr>
      <w:r>
        <w:rPr>
          <w:rFonts w:ascii="Calibri" w:hAnsi="Calibri" w:eastAsia="PingFang SC"/>
          <w:b w:val="0"/>
          <w:i w:val="0"/>
          <w:color w:val="111111"/>
          <w:sz w:val="21"/>
        </w:rPr>
        <w:t>本框架把 LLM 定位为受约束的过程策略：LLM 负责解释证据和提出合法行动，但不能控制环境事实、总体基准率和随机事件实现。这一边界回应了生成式社会仿真中的常见验证失败：个体文本可以非常可信，而总体分布仍然完全错误。</w:t>
      </w:r>
    </w:p>
    <w:p>
      <w:pPr>
        <w:keepLines w:val="0"/>
        <w:spacing w:before="0" w:after="140" w:line="312" w:lineRule="auto"/>
        <w:jc w:val="both"/>
      </w:pPr>
      <w:r>
        <w:rPr>
          <w:rFonts w:ascii="Calibri" w:hAnsi="Calibri" w:eastAsia="PingFang SC"/>
          <w:b w:val="0"/>
          <w:i w:val="0"/>
          <w:color w:val="111111"/>
          <w:sz w:val="21"/>
        </w:rPr>
        <w:t>延期质量接口还使模型之间的不一致保持可观测。如果智能体始终未准备，其统计倾向不会在窗口结束时暗中强迫其撤离；如果智能体已经准备但生命周期抽样值仍高于累计消耗质量，准备完成也不会强制事件发生。这些情况都会保留在轨迹日志中，可作为过程摩擦诊断。</w:t>
      </w:r>
    </w:p>
    <w:p>
      <w:pPr>
        <w:pStyle w:val="Heading1"/>
        <w:keepNext/>
      </w:pPr>
      <w:r>
        <w:rPr>
          <w:rFonts w:ascii="Calibri" w:hAnsi="Calibri" w:eastAsia="PingFang SC"/>
          <w:b/>
          <w:i w:val="0"/>
          <w:color w:val="2E74B5"/>
          <w:sz w:val="32"/>
        </w:rPr>
        <w:t>8 局限性与伦理边界</w:t>
      </w:r>
    </w:p>
    <w:p>
      <w:pPr>
        <w:keepLines w:val="0"/>
        <w:spacing w:before="0" w:after="140" w:line="312" w:lineRule="auto"/>
        <w:jc w:val="both"/>
      </w:pPr>
      <w:r>
        <w:rPr>
          <w:rFonts w:ascii="Calibri" w:hAnsi="Calibri" w:eastAsia="PingFang SC"/>
          <w:b w:val="0"/>
          <w:i w:val="0"/>
          <w:color w:val="111111"/>
          <w:sz w:val="21"/>
        </w:rPr>
        <w:t>两个调查均为便利样本并依赖自报行为。正式队列规模较小，尤其是 30 户机制消融和 Carr 测试集中仅 8 户的留下少数类。自助法区间只反映这些队列内部的抽样不确定性，不能把它们转化为具有总体代表性的样本。</w:t>
      </w:r>
    </w:p>
    <w:p>
      <w:pPr>
        <w:keepLines w:val="0"/>
        <w:spacing w:before="0" w:after="140" w:line="312" w:lineRule="auto"/>
        <w:jc w:val="both"/>
      </w:pPr>
      <w:r>
        <w:rPr>
          <w:rFonts w:ascii="Calibri" w:hAnsi="Calibri" w:eastAsia="PingFang SC"/>
          <w:b w:val="0"/>
          <w:i w:val="0"/>
          <w:color w:val="111111"/>
          <w:sz w:val="21"/>
        </w:rPr>
        <w:t>Carr 在项目早期开发中曾被查看，因此跨灾种结果只能表述为方法冻结后的回顾性确认，而不是完全前瞻、从未接触的外部验证。Carr 训练适配器使用目标训练标签，只能解释为鲁棒性分析，不能称为零样本泛化。</w:t>
      </w:r>
    </w:p>
    <w:p>
      <w:pPr>
        <w:keepLines w:val="0"/>
        <w:spacing w:before="0" w:after="140" w:line="312" w:lineRule="auto"/>
        <w:jc w:val="both"/>
      </w:pPr>
      <w:r>
        <w:rPr>
          <w:rFonts w:ascii="Calibri" w:hAnsi="Calibri" w:eastAsia="PingFang SC"/>
          <w:b w:val="0"/>
          <w:i w:val="0"/>
          <w:color w:val="111111"/>
          <w:sz w:val="21"/>
        </w:rPr>
        <w:t>事件时间线仍较粗糙。Irma 时间分析从一个 HEvOD 公共信号开始，但队列中 23.8% 的有时间标签撤离发生在该信号之前。Carr 只有在使用灾害特定时间适配器后才获得明显改善，这进一步证明撤离时钟具有事件依赖性。</w:t>
      </w:r>
    </w:p>
    <w:p>
      <w:pPr>
        <w:keepLines w:val="0"/>
        <w:spacing w:before="0" w:after="140" w:line="312" w:lineRule="auto"/>
        <w:jc w:val="both"/>
      </w:pPr>
      <w:r>
        <w:rPr>
          <w:rFonts w:ascii="Calibri" w:hAnsi="Calibri" w:eastAsia="PingFang SC"/>
          <w:b w:val="0"/>
          <w:i w:val="0"/>
          <w:color w:val="111111"/>
          <w:sz w:val="21"/>
        </w:rPr>
        <w:t>仿真器不能恢复真实社会关系；社会图消息传播属于可选机制，在正式校准配置中关闭。本文不模拟具有物理精度的野火蔓延、飓风风场、交通流、道路容量、最优路线或清空时间，因为现有调查没有受访者 GPS 路径或链路级交通真值。</w:t>
      </w:r>
    </w:p>
    <w:p>
      <w:pPr>
        <w:keepLines w:val="0"/>
        <w:spacing w:before="0" w:after="140" w:line="312" w:lineRule="auto"/>
        <w:jc w:val="both"/>
      </w:pPr>
      <w:r>
        <w:rPr>
          <w:rFonts w:ascii="Calibri" w:hAnsi="Calibri" w:eastAsia="PingFang SC"/>
          <w:b w:val="0"/>
          <w:i w:val="0"/>
          <w:color w:val="111111"/>
          <w:sz w:val="21"/>
        </w:rPr>
        <w:t>LLM 通过第三方转发服务调用，其不可变模型快照标识无法独立验证。项目保存提示、输出、种子、哈希与缓存记录，但仍无法完全重建服务提供方内部状态。调查变量被转换为有限行为角色；这些角色是工程接口和审计记录，并不代表对真实人类认知状态的直接测量。</w:t>
      </w:r>
    </w:p>
    <w:p>
      <w:pPr>
        <w:keepLines w:val="0"/>
        <w:spacing w:before="0" w:after="140" w:line="312" w:lineRule="auto"/>
        <w:jc w:val="both"/>
      </w:pPr>
      <w:r>
        <w:rPr>
          <w:rFonts w:ascii="Calibri" w:hAnsi="Calibri" w:eastAsia="PingFang SC"/>
          <w:b w:val="0"/>
          <w:i w:val="0"/>
          <w:color w:val="111111"/>
          <w:sz w:val="21"/>
        </w:rPr>
        <w:t>合成智能体结果不应直接用于发布撤离命令、分配应急资源或推断某个具名受访者的行为。系统用于明确不确定性下的方法研究与情景分析；任何实际运行解释仍应由人类决策者负责。</w:t>
      </w:r>
    </w:p>
    <w:p>
      <w:pPr>
        <w:pStyle w:val="Heading1"/>
        <w:keepNext/>
      </w:pPr>
      <w:r>
        <w:rPr>
          <w:rFonts w:ascii="Calibri" w:hAnsi="Calibri" w:eastAsia="PingFang SC"/>
          <w:b/>
          <w:i w:val="0"/>
          <w:color w:val="2E74B5"/>
          <w:sz w:val="32"/>
        </w:rPr>
        <w:t>9 结论</w:t>
      </w:r>
    </w:p>
    <w:p>
      <w:pPr>
        <w:keepLines w:val="0"/>
        <w:spacing w:before="0" w:after="140" w:line="312" w:lineRule="auto"/>
        <w:jc w:val="both"/>
      </w:pPr>
      <w:r>
        <w:rPr>
          <w:rFonts w:ascii="Calibri" w:hAnsi="Calibri" w:eastAsia="PingFang SC"/>
          <w:b w:val="0"/>
          <w:i w:val="0"/>
          <w:color w:val="111111"/>
          <w:sz w:val="21"/>
        </w:rPr>
        <w:t>DisasterSociety 将训练集拟合的总体模型、持续且证据有界的家庭智能体以及合法事件历史执行器结合起来。延期时间质量控制器在不预先给家庭指定撤离类别、不在窗口末强制撤离的情况下保留连续家庭倾向；家庭偏移的五分层生命周期抽样降低有限种子波动；同步时钟内核使未来信息泄漏和非法状态转移可被审计。</w:t>
      </w:r>
    </w:p>
    <w:p>
      <w:pPr>
        <w:keepLines w:val="0"/>
        <w:spacing w:before="0" w:after="140" w:line="312" w:lineRule="auto"/>
        <w:jc w:val="both"/>
      </w:pPr>
      <w:r>
        <w:rPr>
          <w:rFonts w:ascii="Calibri" w:hAnsi="Calibri" w:eastAsia="PingFang SC"/>
          <w:b w:val="0"/>
          <w:i w:val="0"/>
          <w:color w:val="111111"/>
          <w:sz w:val="21"/>
        </w:rPr>
        <w:t>Irma 与 Carr 实验支持持续状态作为当前最主要的智能体机制。Irma 的总体比例和 ECE 点估计有所改善，但尚未证明个体分类显著优于上下文倾向模型。冻结的 Irma 到 Carr 迁移保留部分区分能力，却无法迁移 Carr 的基准率和时间分布；少量 Carr 训练集适配能够修复总体校准与时间。结果表明，跨灾种仿真器需要共享过程核心，也需要显式的事件级参数。记忆、反馈与计划修订在当前数据中没有表现出可识别的额外预测价值。</w:t>
      </w:r>
    </w:p>
    <w:p>
      <w:pPr>
        <w:pStyle w:val="Heading1"/>
        <w:keepNext/>
      </w:pPr>
      <w:r>
        <w:rPr>
          <w:rFonts w:ascii="Calibri" w:hAnsi="Calibri" w:eastAsia="PingFang SC"/>
          <w:b/>
          <w:i w:val="0"/>
          <w:color w:val="2E74B5"/>
          <w:sz w:val="32"/>
        </w:rPr>
        <w:t>参考文献</w:t>
      </w:r>
    </w:p>
    <w:p>
      <w:pPr>
        <w:spacing w:after="80" w:line="269" w:lineRule="auto"/>
        <w:ind w:left="317" w:hanging="317"/>
      </w:pPr>
      <w:r>
        <w:rPr>
          <w:rFonts w:ascii="Calibri" w:hAnsi="Calibri" w:eastAsia="PingFang SC"/>
          <w:b w:val="0"/>
          <w:i w:val="0"/>
          <w:color w:val="111111"/>
          <w:sz w:val="17"/>
        </w:rPr>
        <w:t>[1] E. Bonabeau, “Agent-based modeling: Methods and techniques for simulating human systems,” PNAS, 2002.</w:t>
      </w:r>
    </w:p>
    <w:p>
      <w:pPr>
        <w:spacing w:after="80" w:line="269" w:lineRule="auto"/>
        <w:ind w:left="317" w:hanging="317"/>
      </w:pPr>
      <w:r>
        <w:rPr>
          <w:rFonts w:ascii="Calibri" w:hAnsi="Calibri" w:eastAsia="PingFang SC"/>
          <w:b w:val="0"/>
          <w:i w:val="0"/>
          <w:color w:val="111111"/>
          <w:sz w:val="17"/>
        </w:rPr>
        <w:t>[2] C. M. Macal and M. J. North, “Tutorial on agent-based modelling and simulation,” Journal of Simulation, 2010.</w:t>
      </w:r>
    </w:p>
    <w:p>
      <w:pPr>
        <w:spacing w:after="80" w:line="269" w:lineRule="auto"/>
        <w:ind w:left="317" w:hanging="317"/>
      </w:pPr>
      <w:r>
        <w:rPr>
          <w:rFonts w:ascii="Calibri" w:hAnsi="Calibri" w:eastAsia="PingFang SC"/>
          <w:b w:val="0"/>
          <w:i w:val="0"/>
          <w:color w:val="111111"/>
          <w:sz w:val="17"/>
        </w:rPr>
        <w:t>[3] J. S. Park et al., “Generative agents: Interactive simulacra of human behavior,” UIST, 2023.</w:t>
      </w:r>
    </w:p>
    <w:p>
      <w:pPr>
        <w:spacing w:after="80" w:line="269" w:lineRule="auto"/>
        <w:ind w:left="317" w:hanging="317"/>
      </w:pPr>
      <w:r>
        <w:rPr>
          <w:rFonts w:ascii="Calibri" w:hAnsi="Calibri" w:eastAsia="PingFang SC"/>
          <w:b w:val="0"/>
          <w:i w:val="0"/>
          <w:color w:val="111111"/>
          <w:sz w:val="17"/>
        </w:rPr>
        <w:t>[4] J. Tang et al., “GenSim: A general social simulation platform with large language model based agents,” arXiv:2410.04360, 2024.</w:t>
      </w:r>
    </w:p>
    <w:p>
      <w:pPr>
        <w:spacing w:after="80" w:line="269" w:lineRule="auto"/>
        <w:ind w:left="317" w:hanging="317"/>
      </w:pPr>
      <w:r>
        <w:rPr>
          <w:rFonts w:ascii="Calibri" w:hAnsi="Calibri" w:eastAsia="PingFang SC"/>
          <w:b w:val="0"/>
          <w:i w:val="0"/>
          <w:color w:val="111111"/>
          <w:sz w:val="17"/>
        </w:rPr>
        <w:t>[5] J. Piao et al., “AgentSociety: Large-scale simulation of LLM-driven generative agents,” arXiv:2502.08691, 2025.</w:t>
      </w:r>
    </w:p>
    <w:p>
      <w:pPr>
        <w:spacing w:after="80" w:line="269" w:lineRule="auto"/>
        <w:ind w:left="317" w:hanging="317"/>
      </w:pPr>
      <w:r>
        <w:rPr>
          <w:rFonts w:ascii="Calibri" w:hAnsi="Calibri" w:eastAsia="PingFang SC"/>
          <w:b w:val="0"/>
          <w:i w:val="0"/>
          <w:color w:val="111111"/>
          <w:sz w:val="17"/>
        </w:rPr>
        <w:t>[6] R. Chen et al., “From perceptions to decisions: Wildfire evacuation decision prediction with behavioral theory-informed LLMs,” arXiv:2502.17701, 2025.</w:t>
      </w:r>
    </w:p>
    <w:p>
      <w:pPr>
        <w:spacing w:after="80" w:line="269" w:lineRule="auto"/>
        <w:ind w:left="317" w:hanging="317"/>
      </w:pPr>
      <w:r>
        <w:rPr>
          <w:rFonts w:ascii="Calibri" w:hAnsi="Calibri" w:eastAsia="PingFang SC"/>
          <w:b w:val="0"/>
          <w:i w:val="0"/>
          <w:color w:val="111111"/>
          <w:sz w:val="17"/>
        </w:rPr>
        <w:t>[7] M. K. Lindell and R. W. Perry, “The protective action decision model: Theoretical modifications and additional evidence,” Risk Analysis, 2012.</w:t>
      </w:r>
    </w:p>
    <w:p>
      <w:pPr>
        <w:spacing w:after="80" w:line="269" w:lineRule="auto"/>
        <w:ind w:left="317" w:hanging="317"/>
      </w:pPr>
      <w:r>
        <w:rPr>
          <w:rFonts w:ascii="Calibri" w:hAnsi="Calibri" w:eastAsia="PingFang SC"/>
          <w:b w:val="0"/>
          <w:i w:val="0"/>
          <w:color w:val="111111"/>
          <w:sz w:val="17"/>
        </w:rPr>
        <w:t>[8] D. R. Cox, “Regression models and life-tables,” Journal of the Royal Statistical Society: Series B, 1972.</w:t>
      </w:r>
    </w:p>
    <w:p>
      <w:pPr>
        <w:spacing w:after="80" w:line="269" w:lineRule="auto"/>
        <w:ind w:left="317" w:hanging="317"/>
      </w:pPr>
      <w:r>
        <w:rPr>
          <w:rFonts w:ascii="Calibri" w:hAnsi="Calibri" w:eastAsia="PingFang SC"/>
          <w:b w:val="0"/>
          <w:i w:val="0"/>
          <w:color w:val="111111"/>
          <w:sz w:val="17"/>
        </w:rPr>
        <w:t>[9] T. Toledo et al., “Analysis of evacuation behavior in a wildfire event,” International Journal of Disaster Risk Reduction, 2018.</w:t>
      </w:r>
    </w:p>
    <w:p>
      <w:pPr>
        <w:spacing w:after="80" w:line="269" w:lineRule="auto"/>
        <w:ind w:left="317" w:hanging="317"/>
      </w:pPr>
      <w:r>
        <w:rPr>
          <w:rFonts w:ascii="Calibri" w:hAnsi="Calibri" w:eastAsia="PingFang SC"/>
          <w:b w:val="0"/>
          <w:i w:val="0"/>
          <w:color w:val="111111"/>
          <w:sz w:val="17"/>
        </w:rPr>
        <w:t>[10] S. M. Beyki et al., “Evacuation simulation under threat of wildfire: An overview of research, development, and knowledge gaps,” Applied Sciences, 2023.</w:t>
      </w:r>
    </w:p>
    <w:p>
      <w:pPr>
        <w:spacing w:after="80" w:line="269" w:lineRule="auto"/>
        <w:ind w:left="317" w:hanging="317"/>
      </w:pPr>
      <w:r>
        <w:rPr>
          <w:rFonts w:ascii="Calibri" w:hAnsi="Calibri" w:eastAsia="PingFang SC"/>
          <w:b w:val="0"/>
          <w:i w:val="0"/>
          <w:color w:val="111111"/>
          <w:sz w:val="17"/>
        </w:rPr>
        <w:t>[11] C. Gao et al., “Large language models empowered agent-based modeling and simulation: A survey and perspectives,” arXiv:2312.11970, 2023.</w:t>
      </w:r>
    </w:p>
    <w:p>
      <w:pPr>
        <w:spacing w:after="80" w:line="269" w:lineRule="auto"/>
        <w:ind w:left="317" w:hanging="317"/>
      </w:pPr>
      <w:r>
        <w:rPr>
          <w:rFonts w:ascii="Calibri" w:hAnsi="Calibri" w:eastAsia="PingFang SC"/>
          <w:b w:val="0"/>
          <w:i w:val="0"/>
          <w:color w:val="111111"/>
          <w:sz w:val="17"/>
        </w:rPr>
        <w:t>[12] M. D. McKay, R. J. Beckman, and W. J. Conover, “A comparison of three methods for selecting values of input variables,” Technometrics, 1979.</w:t>
      </w:r>
    </w:p>
    <w:p>
      <w:pPr>
        <w:pStyle w:val="Heading1"/>
        <w:keepNext/>
      </w:pPr>
      <w:r>
        <w:rPr>
          <w:rFonts w:ascii="Calibri" w:hAnsi="Calibri" w:eastAsia="PingFang SC"/>
          <w:b/>
          <w:i w:val="0"/>
          <w:color w:val="2E74B5"/>
          <w:sz w:val="32"/>
        </w:rPr>
        <w:t>审阅说明</w:t>
      </w:r>
    </w:p>
    <w:p>
      <w:pPr>
        <w:keepLines w:val="0"/>
        <w:spacing w:before="0" w:after="140" w:line="312" w:lineRule="auto"/>
        <w:jc w:val="both"/>
      </w:pPr>
      <w:r>
        <w:rPr>
          <w:rFonts w:ascii="Calibri" w:hAnsi="Calibri" w:eastAsia="PingFang SC"/>
          <w:b w:val="0"/>
          <w:i w:val="0"/>
          <w:color w:val="111111"/>
          <w:sz w:val="21"/>
        </w:rPr>
        <w:t>本文件用于中文内容审阅，不是最终投稿排版。正文只包含已经完成并能够由现有数据支撑的定量实验。内部开发版本号和内部实验流水号均未写入；尚未执行的人工盲评也未作为实验或结果写入。英文 IEEE 稿仍是最终投稿格式的主文件。</w:t>
      </w:r>
    </w:p>
    <w:sectPr w:rsidR="00FC693F" w:rsidRPr="0006063C" w:rsidSect="00034616">
      <w:headerReference w:type="default" r:id="rId9"/>
      <w:footerReference w:type="default" r:id="rId10"/>
      <w:pgSz w:w="12240" w:h="15840"/>
      <w:pgMar w:top="1181" w:right="1368" w:bottom="1181" w:left="1368"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PingFang SC"/>
        <w:b w:val="0"/>
        <w:i w:val="0"/>
        <w:color w:val="6B7280"/>
        <w:sz w:val="17"/>
      </w:rPr>
      <w:t xml:space="preserve">中文内容审阅稿  ·  第 </w:t>
    </w:r>
    <w:r>
      <w:rPr>
        <w:rFonts w:ascii="Calibri" w:hAnsi="Calibri" w:eastAsia="PingFang SC"/>
        <w:b w:val="0"/>
        <w:i w:val="0"/>
        <w:color w:val="6B7280"/>
        <w:sz w:val="18"/>
      </w:rPr>
      <w:fldChar w:fldCharType="begin"/>
      <w:instrText xml:space="preserve"> PAGE </w:instrText>
      <w:fldChar w:fldCharType="separate"/>
      <w:t>1</w:t>
      <w:fldChar w:fldCharType="end"/>
    </w:r>
    <w:r>
      <w:rPr>
        <w:rFonts w:ascii="Calibri" w:hAnsi="Calibri" w:eastAsia="PingFang SC"/>
        <w:b w:val="0"/>
        <w:i w:val="0"/>
        <w:color w:val="6B7280"/>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PingFang SC"/>
        <w:b w:val="0"/>
        <w:i w:val="0"/>
        <w:color w:val="6B7280"/>
        <w:sz w:val="17"/>
      </w:rPr>
      <w:t>DisasterSociety 论文中文审阅稿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12" w:lineRule="auto"/>
    </w:pPr>
    <w:rPr>
      <w:rFonts w:ascii="Calibri" w:hAnsi="Calibri" w:eastAsia="PingFang SC"/>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PingFang S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PingFang S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PingFang SC"/>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DisasterSociety：面向跨灾种防护行为仿真的总体校准持续智能体框架</dc:title>
  <dc:subject>论文中文内容审阅稿</dc:subject>
  <dc:creator>Anonymous Author(s)</dc:creator>
  <cp:keywords>生成式智能体, 灾害仿真, 多智能体系统, 防护行动, 概率校准</cp:keywords>
  <dc:description>中文审阅稿；不包含尚未完成的人工盲评。</dc:description>
  <cp:lastModifiedBy/>
  <cp:revision>1</cp:revision>
  <dcterms:created xsi:type="dcterms:W3CDTF">2013-12-23T23:15:00Z</dcterms:created>
  <dcterms:modified xsi:type="dcterms:W3CDTF">2013-12-23T23:15:00Z</dcterms:modified>
  <cp:category/>
</cp:coreProperties>
</file>