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hv7ijk6vn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B — Limpieza y normalización: pasos y justificación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Contexto.</w:t>
      </w:r>
      <w:r w:rsidDel="00000000" w:rsidR="00000000" w:rsidRPr="00000000">
        <w:rPr>
          <w:rtl w:val="0"/>
        </w:rPr>
        <w:t xml:space="preserve"> Se trabajó con el dataset de dengue de SIVIGILA 2022-2025 (581,071 registros, 20 columnas). La variable objetivo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PAC_HOS</w:t>
      </w:r>
      <w:r w:rsidDel="00000000" w:rsidR="00000000" w:rsidRPr="00000000">
        <w:rPr>
          <w:rtl w:val="0"/>
        </w:rPr>
        <w:t xml:space="preserve"> (paciente hospitalizado: 38.4% sí, 61.6% no), un problema de clasificación. El principio rector fue evitar el </w:t>
      </w:r>
      <w:r w:rsidDel="00000000" w:rsidR="00000000" w:rsidRPr="00000000">
        <w:rPr>
          <w:i w:val="1"/>
          <w:i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: todo paso que aprende de los datos (imputación, escalado, codificación) se ajusta solo con el conjunto de entrenamiento.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Diagnóstico.</w:t>
      </w:r>
      <w:r w:rsidDel="00000000" w:rsidR="00000000" w:rsidRPr="00000000">
        <w:rPr>
          <w:rtl w:val="0"/>
        </w:rPr>
        <w:t xml:space="preserve"> No hay nulos reales, pero sí nulos disfrazados: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estrato</w:t>
      </w:r>
      <w:r w:rsidDel="00000000" w:rsidR="00000000" w:rsidRPr="00000000">
        <w:rPr>
          <w:rtl w:val="0"/>
        </w:rPr>
        <w:t xml:space="preserve"> trae espacios sobrantes, 20,422 valores vacíos y 3,082 “SIN DATO” (23,504 en total, 4.0%). La edad mezcla unidades: 8,580 registros están en meses, días u horas, y 21 superan los 100 años (máximo 122). Hay 20,454 filas duplicadas exactas (3.5%). Además,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PAC_HOS</w:t>
      </w:r>
      <w:r w:rsidDel="00000000" w:rsidR="00000000" w:rsidRPr="00000000">
        <w:rPr>
          <w:rtl w:val="0"/>
        </w:rPr>
        <w:t xml:space="preserve"> viene codificada 1 = Sí y 2 = No. Al verificar el Hallazgo 2 del EDA con la codificación correcta, la tasa de hospitalización por edad resultó tener forma de U (48.6% en menores de 1 año, 30.9% entre 30 y 49 años, 47.6% en mayores de 70), y no el “70% en adultos” reportado inicialmente, que correspondía al complemento (no hospitalizados).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Limpieza determinística.</w:t>
      </w:r>
      <w:r w:rsidDel="00000000" w:rsidR="00000000" w:rsidRPr="00000000">
        <w:rPr>
          <w:rtl w:val="0"/>
        </w:rPr>
        <w:t xml:space="preserve"> Se creó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limpiar_basico</w:t>
      </w:r>
      <w:r w:rsidDel="00000000" w:rsidR="00000000" w:rsidRPr="00000000">
        <w:rPr>
          <w:rtl w:val="0"/>
        </w:rPr>
        <w:t xml:space="preserve">, que no calcula estadísticos y por tanto no puede filtrar información: unifica nombres y espacios, convierte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estrato</w:t>
      </w:r>
      <w:r w:rsidDel="00000000" w:rsidR="00000000" w:rsidRPr="00000000">
        <w:rPr>
          <w:rtl w:val="0"/>
        </w:rPr>
        <w:t xml:space="preserve"> vacío o “SIN DATO” en nulo real, pasa la edad a años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UNI_MED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EDAD_ANIOS</w:t>
      </w:r>
      <w:r w:rsidDel="00000000" w:rsidR="00000000" w:rsidRPr="00000000">
        <w:rPr>
          <w:rtl w:val="0"/>
        </w:rPr>
        <w:t xml:space="preserve">), recodifica las banderas 1/2 a 0/1 y define el objetivo como 1 = hospitalizado.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Duplicados: se conservan.</w:t>
      </w:r>
      <w:r w:rsidDel="00000000" w:rsidR="00000000" w:rsidRPr="00000000">
        <w:rPr>
          <w:rtl w:val="0"/>
        </w:rPr>
        <w:t xml:space="preserve"> Sin identificador de paciente, dos filas iguales pueden ser personas distintas. La tasa de duplicados crece con el tamaño del municipio (0.2% en municipios de menos de 100 casos frente a 8.7% en los de más de 10,000) y casi todas las filas se repiten solo dos veces, patrón típico de coincidencias y no de cargas dobles. Limitación: algunas filas idénticas pueden quedar en train y en test.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Variables excluidas.</w:t>
      </w:r>
      <w:r w:rsidDel="00000000" w:rsidR="00000000" w:rsidRPr="00000000">
        <w:rPr>
          <w:rtl w:val="0"/>
        </w:rPr>
        <w:t xml:space="preserve"> Se excluyen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AJUSTE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nom_est_f_caso</w:t>
      </w:r>
      <w:r w:rsidDel="00000000" w:rsidR="00000000" w:rsidRPr="00000000">
        <w:rPr>
          <w:rtl w:val="0"/>
        </w:rPr>
        <w:t xml:space="preserve"> por ser posteriores a la notificación. Entre los casos notificados como probables, los que luego se confirmaron se hospitalizan cerca de 47%, frente a 16% de los que siguen probables: el estado final incorpora información del desenlace. Se conserva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TIP_CAS</w:t>
      </w:r>
      <w:r w:rsidDel="00000000" w:rsidR="00000000" w:rsidRPr="00000000">
        <w:rPr>
          <w:rtl w:val="0"/>
        </w:rPr>
        <w:t xml:space="preserve">, que se conoce al notificar.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Outliers: se conservan.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IQR (Q1 = 9, Q3 = 32, límites −25.5 y 66.5) hay 22,816 atípicos (3.93%), todos adultos mayores de 67 a 100 años. Son valores reales y su hospitalización es mayor (46.2% frente a 38.1%), por lo que eliminarlos sesgaría el modelo contra el grupo de mayor riesgo. Solo se descartaron como implausibles las 21 edades mayores a 100 años, que pasaron a nulo.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Split antes de imputar y escalar.</w:t>
      </w:r>
      <w:r w:rsidDel="00000000" w:rsidR="00000000" w:rsidRPr="00000000">
        <w:rPr>
          <w:rtl w:val="0"/>
        </w:rPr>
        <w:t xml:space="preserve"> Partición 80/20 estratificada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PAC_HOS</w:t>
      </w:r>
      <w:r w:rsidDel="00000000" w:rsidR="00000000" w:rsidRPr="00000000">
        <w:rPr>
          <w:rtl w:val="0"/>
        </w:rPr>
        <w:t xml:space="preserve"> con semilla fija (42): 464,856 filas de entrenamiento y 116,215 de prueba, con 38.44% de hospitalizados en ambas.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Imputación (ajustada con train).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EDAD_ANIOS</w:t>
      </w:r>
      <w:r w:rsidDel="00000000" w:rsidR="00000000" w:rsidRPr="00000000">
        <w:rPr>
          <w:rtl w:val="0"/>
        </w:rPr>
        <w:t xml:space="preserve"> (21 nulos) se imputa con la mediana (17 años), robusta al sesgo.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ESTRATO</w:t>
      </w:r>
      <w:r w:rsidDel="00000000" w:rsidR="00000000" w:rsidRPr="00000000">
        <w:rPr>
          <w:rtl w:val="0"/>
        </w:rPr>
        <w:t xml:space="preserve"> (4.0% de nulos) se comparó moda contra KNN ocultando el 10% de los estratos conocidos de una submuestra de train: KNN acertó 56.0% frente a 48.1% de la moda y su error medio fue 0.53 estratos frente a 0.74. Se eligió KNN (k = 5, con tipo de afiliación, área, departamento, pertenencia étnica y edad), redondeando al estrato entero más cercano. Los vecinos provienen solo de train y la distribución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ESTRATO</w:t>
      </w:r>
      <w:r w:rsidDel="00000000" w:rsidR="00000000" w:rsidRPr="00000000">
        <w:rPr>
          <w:rtl w:val="0"/>
        </w:rPr>
        <w:t xml:space="preserve"> casi no cambió. Limitación: el experimento supone que los faltantes son aleatorios.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Transformación del sesgo y variables derivadas.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edad tenía sesgo 1.25 (fuerte): la raíz lo dejó en 0.46, el log en −0.46 y Yeo-Johnson en −0.02, por lo que se eligió Yeo-Johnson (a diferencia de Box-Cox, admite cualquier valor). El municipio (974 niveles) se reemplazó por el logaritmo de sus casos en train (sesgo de 2.17 a −0.17). La semana se representó con seno y coseno para respetar su ciclo anual, y se crearon grupos de edad para que los modelos lineales capten la relación en 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Codificación y escalado.</w:t>
      </w:r>
      <w:r w:rsidDel="00000000" w:rsidR="00000000" w:rsidRPr="00000000">
        <w:rPr>
          <w:rtl w:val="0"/>
        </w:rPr>
        <w:t xml:space="preserve"> One-Hot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drop='first'</w:t>
      </w:r>
      <w:r w:rsidDel="00000000" w:rsidR="00000000" w:rsidRPr="00000000">
        <w:rPr>
          <w:rtl w:val="0"/>
        </w:rPr>
        <w:t xml:space="preserve"> para variables nominales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TIP_SS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PER_ETN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TIP_CAS</w:t>
      </w:r>
      <w:r w:rsidDel="00000000" w:rsidR="00000000" w:rsidRPr="00000000">
        <w:rPr>
          <w:rtl w:val="0"/>
        </w:rPr>
        <w:t xml:space="preserve">, departamento y grupo de edad); codificación ordinal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RobustScaler</w:t>
      </w:r>
      <w:r w:rsidDel="00000000" w:rsidR="00000000" w:rsidRPr="00000000">
        <w:rPr>
          <w:rtl w:val="0"/>
        </w:rPr>
        <w:t xml:space="preserve"> para la edad (por los valores extremos conservados), Z-score para el logaritmo del municipio y Min-Max para estrato y año.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Verificación y resultado.</w:t>
      </w:r>
      <w:r w:rsidDel="00000000" w:rsidR="00000000" w:rsidRPr="00000000">
        <w:rPr>
          <w:rtl w:val="0"/>
        </w:rPr>
        <w:t xml:space="preserve"> Se comprobó que los escaladores vieron exactamente las 464,856 filas de train y que sus parámetros coinciden con los de train y no con los del dataset completo. Se guardó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datos_limpios.parquet</w:t>
      </w:r>
      <w:r w:rsidDel="00000000" w:rsidR="00000000" w:rsidRPr="00000000">
        <w:rPr>
          <w:rtl w:val="0"/>
        </w:rPr>
        <w:t xml:space="preserve">: 581,071 filas, 63 variables de entrada,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PAC_HOS</w:t>
      </w:r>
      <w:r w:rsidDel="00000000" w:rsidR="00000000" w:rsidRPr="00000000">
        <w:rPr>
          <w:rtl w:val="0"/>
        </w:rPr>
        <w:t xml:space="preserve"> y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</w:t>
      </w:r>
      <w:r w:rsidDel="00000000" w:rsidR="00000000" w:rsidRPr="00000000">
        <w:rPr>
          <w:rtl w:val="0"/>
        </w:rPr>
        <w:t xml:space="preserve">, sin nulos. Limitación: se incluyó el año porque el split es aleatorio y captura la deriva de la hospitalización (53% en 2022 frente a ~35% en 2024-25); un split temporal sería una mejora.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