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Datasets and Training Model Comprehensive Explanation</w:t>
      </w:r>
    </w:p>
    <w:p>
      <w:pPr>
        <w:pStyle w:val="Heading1"/>
      </w:pPr>
      <w:r>
        <w:t>1. Dataset Composition</w:t>
      </w:r>
    </w:p>
    <w:p>
      <w:r>
        <w:t>The training data was created by merging multiple pig behavior datasets into a standardized 8-class format: lying, standing, walking, sitting, feeding, drinking, social_interaction, aggression. A total of 8,515 images were used in an 80/10/10 train/val/test split.</w:t>
      </w:r>
    </w:p>
    <w:p>
      <w:pPr>
        <w:pStyle w:val="Heading1"/>
      </w:pPr>
      <w:r>
        <w:t>2. YOLOv8n Model Architecture</w:t>
      </w:r>
    </w:p>
    <w:p>
      <w:r>
        <w:t>YOLOv8 Nano was selected for its balance between accuracy and performance on CPU-bound edge devices like the Raspberry Pi. It was trained on an RTX 4050.</w:t>
      </w:r>
    </w:p>
    <w:p>
      <w:pPr>
        <w:pStyle w:val="Heading1"/>
      </w:pPr>
      <w:r>
        <w:t>3. Training Results &amp; Metrics</w:t>
      </w:r>
    </w:p>
    <w:p>
      <w:r>
        <w:t>The model achieved a high mAP50 (&gt;0.82) on the evaluation set. Below are the visual results from the evaluation: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Normalized Confusion Matrix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F1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F1-Confidence Curve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R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Precision-Recall Curve</w:t>
      </w:r>
    </w:p>
    <w:p>
      <w:r>
        <w:drawing>
          <wp:inline xmlns:a="http://schemas.openxmlformats.org/drawingml/2006/main" xmlns:pic="http://schemas.openxmlformats.org/drawingml/2006/picture">
            <wp:extent cx="5486400" cy="4183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_batch0_pr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Validation Batch 0 Predictions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