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Goal of Research Overview</w:t>
      </w:r>
    </w:p>
    <w:p>
      <w:pPr>
        <w:pStyle w:val="Heading1"/>
      </w:pPr>
      <w:r>
        <w:t>1. Research Motivation</w:t>
      </w:r>
    </w:p>
    <w:p>
      <w:r>
        <w:t>The primary goal is to provide a low-cost, offline, and reliable edge AI solution for swine farmers. Early detection of illness (fever + lethargy) and heat stress is critical for animal welfare and farm productivity.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Achieve high accuracy (mAP50 &gt;= 0.70) in detecting 8 specific pig behaviors.</w:t>
      </w:r>
    </w:p>
    <w:p>
      <w:pPr>
        <w:pStyle w:val="ListBullet"/>
      </w:pPr>
      <w:r>
        <w:t>Run entirely offline on edge hardware (Raspberry Pi 4B) without recurring cloud computing costs.</w:t>
      </w:r>
    </w:p>
    <w:p>
      <w:pPr>
        <w:pStyle w:val="ListBullet"/>
      </w:pPr>
      <w:r>
        <w:t>Provide actionable SMS alerts immediately when anomalies are detected.</w:t>
      </w:r>
    </w:p>
    <w:p>
      <w:pPr>
        <w:pStyle w:val="ListBullet"/>
      </w:pPr>
      <w:r>
        <w:t>Maintain a local database for historical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