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Formulas and Weights Explanation</w:t>
      </w:r>
    </w:p>
    <w:p>
      <w:pPr>
        <w:jc w:val="center"/>
      </w:pPr>
      <w:r>
        <w:t>Mathematical Models · Decision Logic · Configuration Parameters</w:t>
      </w:r>
    </w:p>
    <w:p>
      <w:r>
        <w:br w:type="page"/>
      </w:r>
    </w:p>
    <w:p>
      <w:pPr>
        <w:pStyle w:val="Heading1"/>
      </w:pPr>
      <w:r>
        <w:t>1. Temperature Humidity Index (THI)</w:t>
      </w:r>
    </w:p>
    <w:p>
      <w:r>
        <w:t>The THI is an internationally recognised index used in animal husbandry to quantify the combined effect of temperature and humidity on heat stress in livestock. The system uses the standard NRC formula, adapted for Celsius input:</w:t>
      </w:r>
    </w:p>
    <w:p>
      <w:pPr>
        <w:ind w:left="432" w:right="432"/>
      </w:pPr>
      <w:r>
        <w:rPr>
          <w:i/>
          <w:color w:val="1A5276"/>
          <w:sz w:val="19"/>
        </w:rPr>
        <w:t>THI  =  (1.8 × T + 32)  −  [ (0.55 − 0.0055 × RH) × (1.8 × T − 26) ]</w:t>
      </w:r>
    </w:p>
    <w:p/>
    <w:p>
      <w:r>
        <w:t>Where:</w:t>
      </w:r>
    </w:p>
    <w:p>
      <w:pPr>
        <w:pStyle w:val="ListBullet"/>
      </w:pPr>
      <w:r>
        <w:rPr>
          <w:b/>
        </w:rPr>
        <w:t xml:space="preserve">T:  </w:t>
      </w:r>
      <w:r>
        <w:t>Ambient air temperature in degrees Celsius (°C), read from the DHT22 sensor.</w:t>
      </w:r>
    </w:p>
    <w:p>
      <w:pPr>
        <w:pStyle w:val="ListBullet"/>
      </w:pPr>
      <w:r>
        <w:rPr>
          <w:b/>
        </w:rPr>
        <w:t xml:space="preserve">RH:  </w:t>
      </w:r>
      <w:r>
        <w:t>Relative Humidity as a percentage (%), read from the DHT22 sensor.</w:t>
      </w:r>
    </w:p>
    <w:p>
      <w:pPr>
        <w:pStyle w:val="ListBullet"/>
      </w:pPr>
      <w:r>
        <w:rPr>
          <w:b/>
        </w:rPr>
        <w:t xml:space="preserve">THI:  </w:t>
      </w:r>
      <w:r>
        <w:t>Temperature Humidity Index (dimensionless composite score).</w:t>
      </w:r>
    </w:p>
    <w:p>
      <w:pPr>
        <w:pStyle w:val="Heading2"/>
      </w:pPr>
      <w:r>
        <w:t>1.1  THI Interpretation Thresholds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THI Range</w:t>
            </w:r>
          </w:p>
        </w:tc>
        <w:tc>
          <w:tcPr>
            <w:tcW w:type="dxa" w:w="2880"/>
            <w:shd w:val="clear" w:color="auto" w:fill="1F4E79"/>
          </w:tcPr>
          <w:p>
            <w:pPr>
              <w:jc w:val="center"/>
            </w:pPr>
            <w:r>
              <w:rPr>
                <w:b/>
                <w:color w:val="FFFFFF"/>
                <w:sz w:val="20"/>
              </w:rPr>
              <w:t>Stress Level</w:t>
            </w:r>
          </w:p>
        </w:tc>
        <w:tc>
          <w:tcPr>
            <w:tcW w:type="dxa" w:w="2880"/>
            <w:shd w:val="clear" w:color="auto" w:fill="1F4E79"/>
          </w:tcPr>
          <w:p>
            <w:pPr>
              <w:jc w:val="center"/>
            </w:pPr>
            <w:r>
              <w:rPr>
                <w:b/>
                <w:color w:val="FFFFFF"/>
                <w:sz w:val="20"/>
              </w:rPr>
              <w:t>System Behaviour</w:t>
            </w:r>
          </w:p>
        </w:tc>
      </w:tr>
      <w:tr>
        <w:tc>
          <w:tcPr>
            <w:tcW w:type="dxa" w:w="2880"/>
            <w:shd w:val="clear" w:color="auto" w:fill="FFFFFF"/>
          </w:tcPr>
          <w:p>
            <w:r>
              <w:rPr>
                <w:sz w:val="18"/>
              </w:rPr>
              <w:t>&lt; 72</w:t>
            </w:r>
          </w:p>
        </w:tc>
        <w:tc>
          <w:tcPr>
            <w:tcW w:type="dxa" w:w="2880"/>
            <w:shd w:val="clear" w:color="auto" w:fill="FFFFFF"/>
          </w:tcPr>
          <w:p>
            <w:r>
              <w:rPr>
                <w:sz w:val="18"/>
              </w:rPr>
              <w:t>No Heat Stress</w:t>
            </w:r>
          </w:p>
        </w:tc>
        <w:tc>
          <w:tcPr>
            <w:tcW w:type="dxa" w:w="2880"/>
            <w:shd w:val="clear" w:color="auto" w:fill="FFFFFF"/>
          </w:tcPr>
          <w:p>
            <w:r>
              <w:rPr>
                <w:sz w:val="18"/>
              </w:rPr>
              <w:t>Normal alert thresholds applied (15 min stationary limit)</w:t>
            </w:r>
          </w:p>
        </w:tc>
      </w:tr>
      <w:tr>
        <w:tc>
          <w:tcPr>
            <w:tcW w:type="dxa" w:w="2880"/>
            <w:shd w:val="clear" w:color="auto" w:fill="D6E4F0"/>
          </w:tcPr>
          <w:p>
            <w:r>
              <w:rPr>
                <w:sz w:val="18"/>
              </w:rPr>
              <w:t>72 – 78</w:t>
            </w:r>
          </w:p>
        </w:tc>
        <w:tc>
          <w:tcPr>
            <w:tcW w:type="dxa" w:w="2880"/>
            <w:shd w:val="clear" w:color="auto" w:fill="D6E4F0"/>
          </w:tcPr>
          <w:p>
            <w:r>
              <w:rPr>
                <w:sz w:val="18"/>
              </w:rPr>
              <w:t>Mild Heat Stress</w:t>
            </w:r>
          </w:p>
        </w:tc>
        <w:tc>
          <w:tcPr>
            <w:tcW w:type="dxa" w:w="2880"/>
            <w:shd w:val="clear" w:color="auto" w:fill="D6E4F0"/>
          </w:tcPr>
          <w:p>
            <w:r>
              <w:rPr>
                <w:sz w:val="18"/>
              </w:rPr>
              <w:t>Normal thresholds; awareness logging activated</w:t>
            </w:r>
          </w:p>
        </w:tc>
      </w:tr>
      <w:tr>
        <w:tc>
          <w:tcPr>
            <w:tcW w:type="dxa" w:w="2880"/>
            <w:shd w:val="clear" w:color="auto" w:fill="FFFFFF"/>
          </w:tcPr>
          <w:p>
            <w:r>
              <w:rPr>
                <w:sz w:val="18"/>
              </w:rPr>
              <w:t>79 – 88</w:t>
            </w:r>
          </w:p>
        </w:tc>
        <w:tc>
          <w:tcPr>
            <w:tcW w:type="dxa" w:w="2880"/>
            <w:shd w:val="clear" w:color="auto" w:fill="FFFFFF"/>
          </w:tcPr>
          <w:p>
            <w:r>
              <w:rPr>
                <w:sz w:val="18"/>
              </w:rPr>
              <w:t>Moderate Heat Stress</w:t>
            </w:r>
          </w:p>
        </w:tc>
        <w:tc>
          <w:tcPr>
            <w:tcW w:type="dxa" w:w="2880"/>
            <w:shd w:val="clear" w:color="auto" w:fill="FFFFFF"/>
          </w:tcPr>
          <w:p>
            <w:r>
              <w:rPr>
                <w:sz w:val="18"/>
              </w:rPr>
              <w:t>Stationary threshold extended from 15 min → 30 min</w:t>
            </w:r>
          </w:p>
        </w:tc>
      </w:tr>
      <w:tr>
        <w:tc>
          <w:tcPr>
            <w:tcW w:type="dxa" w:w="2880"/>
            <w:shd w:val="clear" w:color="auto" w:fill="D6E4F0"/>
          </w:tcPr>
          <w:p>
            <w:r>
              <w:rPr>
                <w:sz w:val="18"/>
              </w:rPr>
              <w:t>89 – 98</w:t>
            </w:r>
          </w:p>
        </w:tc>
        <w:tc>
          <w:tcPr>
            <w:tcW w:type="dxa" w:w="2880"/>
            <w:shd w:val="clear" w:color="auto" w:fill="D6E4F0"/>
          </w:tcPr>
          <w:p>
            <w:r>
              <w:rPr>
                <w:sz w:val="18"/>
              </w:rPr>
              <w:t>Severe Heat Stress</w:t>
            </w:r>
          </w:p>
        </w:tc>
        <w:tc>
          <w:tcPr>
            <w:tcW w:type="dxa" w:w="2880"/>
            <w:shd w:val="clear" w:color="auto" w:fill="D6E4F0"/>
          </w:tcPr>
          <w:p>
            <w:r>
              <w:rPr>
                <w:sz w:val="18"/>
              </w:rPr>
              <w:t>30 min threshold; population alert sensitivity increased</w:t>
            </w:r>
          </w:p>
        </w:tc>
      </w:tr>
      <w:tr>
        <w:tc>
          <w:tcPr>
            <w:tcW w:type="dxa" w:w="2880"/>
            <w:shd w:val="clear" w:color="auto" w:fill="FFFFFF"/>
          </w:tcPr>
          <w:p>
            <w:r>
              <w:rPr>
                <w:sz w:val="18"/>
              </w:rPr>
              <w:t>&gt; 98</w:t>
            </w:r>
          </w:p>
        </w:tc>
        <w:tc>
          <w:tcPr>
            <w:tcW w:type="dxa" w:w="2880"/>
            <w:shd w:val="clear" w:color="auto" w:fill="FFFFFF"/>
          </w:tcPr>
          <w:p>
            <w:r>
              <w:rPr>
                <w:sz w:val="18"/>
              </w:rPr>
              <w:t>Extreme Heat Stress</w:t>
            </w:r>
          </w:p>
        </w:tc>
        <w:tc>
          <w:tcPr>
            <w:tcW w:type="dxa" w:w="2880"/>
            <w:shd w:val="clear" w:color="auto" w:fill="FFFFFF"/>
          </w:tcPr>
          <w:p>
            <w:r>
              <w:rPr>
                <w:sz w:val="18"/>
              </w:rPr>
              <w:t>Emergency thresholds; alert cooldown reduced</w:t>
            </w:r>
          </w:p>
        </w:tc>
      </w:tr>
    </w:tbl>
    <w:p/>
    <w:p>
      <w:pPr>
        <w:pStyle w:val="Heading1"/>
      </w:pPr>
      <w:r>
        <w:t>2. Hybrid Risk Engine Alert Logic</w:t>
      </w:r>
    </w:p>
    <w:p>
      <w:r>
        <w:t>The risk engine operates two independent detection channels running in parallel on every processed frame. Either channel can independently trigger an SMS alert.</w:t>
      </w:r>
    </w:p>
    <w:p>
      <w:pPr>
        <w:pStyle w:val="Heading2"/>
      </w:pPr>
      <w:r>
        <w:t>2.1  Channel 1 — Individual Fever &amp; Lethargy Alert</w:t>
      </w:r>
    </w:p>
    <w:p>
      <w:pPr>
        <w:ind w:left="432" w:right="432"/>
      </w:pPr>
      <w:r>
        <w:rPr>
          <w:i/>
          <w:color w:val="1A5276"/>
          <w:sz w:val="19"/>
        </w:rPr>
        <w:t>TRIGGER if:  stationary_duration(pig_i) ≥ T_stationary  AND  zone_temp(pig_i) &gt; T_ambient + Δ_fever</w:t>
        <w:br/>
        <w:br/>
        <w:t>Where:  T_stationary = 900 s (15 min)  ← extended to 1800 s (30 min) when THI &gt; 78</w:t>
        <w:br/>
        <w:t xml:space="preserve">        Δ_fever      = 2.0 °C  (configurable in config.yaml)</w:t>
      </w:r>
    </w:p>
    <w:p>
      <w:r>
        <w:t>This channel targets individual pigs. A pig must satisfy BOTH conditions simultaneously:</w:t>
        <w:br/>
        <w:t>(a) It has been classified as stationary (centroid displacement &lt; 20 px) for a sustained period.</w:t>
        <w:br/>
        <w:t>(b) Its body surface temperature (measured via AMG8833 zone) exceeds ambient temperature by more than the fever delta threshold.</w:t>
      </w:r>
    </w:p>
    <w:p>
      <w:pPr>
        <w:pStyle w:val="Heading2"/>
      </w:pPr>
      <w:r>
        <w:t>2.2  Channel 2 — Population Lethargy Alert</w:t>
      </w:r>
    </w:p>
    <w:p>
      <w:pPr>
        <w:ind w:left="432" w:right="432"/>
      </w:pPr>
      <w:r>
        <w:rPr>
          <w:i/>
          <w:color w:val="1A5276"/>
          <w:sz w:val="19"/>
        </w:rPr>
        <w:t>TRIGGER if:  (count(stationary pigs) / count(total pigs)) ≥ 0.60  FOR ≥ 3 consecutive seconds</w:t>
        <w:br/>
        <w:br/>
        <w:t>lethargy_ratio = stationary_count / total_count</w:t>
      </w:r>
    </w:p>
    <w:p>
      <w:r>
        <w:t>This channel monitors herd-level behavior. If 60% or more of the detected pigs are simultaneously stationary for at least 3 consecutive seconds, it indicates a possible group illness or environmental emergency (e.g. overcrowding, gas leak, extreme heat).</w:t>
      </w:r>
    </w:p>
    <w:p>
      <w:pPr>
        <w:pStyle w:val="Heading1"/>
      </w:pPr>
      <w:r>
        <w:t>3. YOLOv8n Confidence &amp; NMS Parameters</w:t>
      </w:r>
    </w:p>
    <w:p>
      <w:r>
        <w:t>The ONNX inference postprocessing applies two filtering stages to the raw model output: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Parameter</w:t>
            </w:r>
          </w:p>
        </w:tc>
        <w:tc>
          <w:tcPr>
            <w:tcW w:type="dxa" w:w="2880"/>
            <w:shd w:val="clear" w:color="auto" w:fill="1F4E79"/>
          </w:tcPr>
          <w:p>
            <w:pPr>
              <w:jc w:val="center"/>
            </w:pPr>
            <w:r>
              <w:rPr>
                <w:b/>
                <w:color w:val="FFFFFF"/>
                <w:sz w:val="20"/>
              </w:rPr>
              <w:t>Value</w:t>
            </w:r>
          </w:p>
        </w:tc>
        <w:tc>
          <w:tcPr>
            <w:tcW w:type="dxa" w:w="2880"/>
            <w:shd w:val="clear" w:color="auto" w:fill="1F4E79"/>
          </w:tcPr>
          <w:p>
            <w:pPr>
              <w:jc w:val="center"/>
            </w:pPr>
            <w:r>
              <w:rPr>
                <w:b/>
                <w:color w:val="FFFFFF"/>
                <w:sz w:val="20"/>
              </w:rPr>
              <w:t>Description</w:t>
            </w:r>
          </w:p>
        </w:tc>
      </w:tr>
      <w:tr>
        <w:tc>
          <w:tcPr>
            <w:tcW w:type="dxa" w:w="2880"/>
            <w:shd w:val="clear" w:color="auto" w:fill="FFFFFF"/>
          </w:tcPr>
          <w:p>
            <w:r>
              <w:rPr>
                <w:sz w:val="18"/>
              </w:rPr>
              <w:t>conf_threshold</w:t>
            </w:r>
          </w:p>
        </w:tc>
        <w:tc>
          <w:tcPr>
            <w:tcW w:type="dxa" w:w="2880"/>
            <w:shd w:val="clear" w:color="auto" w:fill="FFFFFF"/>
          </w:tcPr>
          <w:p>
            <w:r>
              <w:rPr>
                <w:sz w:val="18"/>
              </w:rPr>
              <w:t>0.35</w:t>
            </w:r>
          </w:p>
        </w:tc>
        <w:tc>
          <w:tcPr>
            <w:tcW w:type="dxa" w:w="2880"/>
            <w:shd w:val="clear" w:color="auto" w:fill="FFFFFF"/>
          </w:tcPr>
          <w:p>
            <w:r>
              <w:rPr>
                <w:sz w:val="18"/>
              </w:rPr>
              <w:t>Minimum detection confidence; boxes below this are discarded</w:t>
            </w:r>
          </w:p>
        </w:tc>
      </w:tr>
      <w:tr>
        <w:tc>
          <w:tcPr>
            <w:tcW w:type="dxa" w:w="2880"/>
            <w:shd w:val="clear" w:color="auto" w:fill="D6E4F0"/>
          </w:tcPr>
          <w:p>
            <w:r>
              <w:rPr>
                <w:sz w:val="18"/>
              </w:rPr>
              <w:t>iou_threshold</w:t>
            </w:r>
          </w:p>
        </w:tc>
        <w:tc>
          <w:tcPr>
            <w:tcW w:type="dxa" w:w="2880"/>
            <w:shd w:val="clear" w:color="auto" w:fill="D6E4F0"/>
          </w:tcPr>
          <w:p>
            <w:r>
              <w:rPr>
                <w:sz w:val="18"/>
              </w:rPr>
              <w:t>0.45</w:t>
            </w:r>
          </w:p>
        </w:tc>
        <w:tc>
          <w:tcPr>
            <w:tcW w:type="dxa" w:w="2880"/>
            <w:shd w:val="clear" w:color="auto" w:fill="D6E4F0"/>
          </w:tcPr>
          <w:p>
            <w:r>
              <w:rPr>
                <w:sz w:val="18"/>
              </w:rPr>
              <w:t>IoU threshold for Non-Maximum Suppression (NMS)</w:t>
            </w:r>
          </w:p>
        </w:tc>
      </w:tr>
      <w:tr>
        <w:tc>
          <w:tcPr>
            <w:tcW w:type="dxa" w:w="2880"/>
            <w:shd w:val="clear" w:color="auto" w:fill="FFFFFF"/>
          </w:tcPr>
          <w:p>
            <w:r>
              <w:rPr>
                <w:sz w:val="18"/>
              </w:rPr>
              <w:t>input_size</w:t>
            </w:r>
          </w:p>
        </w:tc>
        <w:tc>
          <w:tcPr>
            <w:tcW w:type="dxa" w:w="2880"/>
            <w:shd w:val="clear" w:color="auto" w:fill="FFFFFF"/>
          </w:tcPr>
          <w:p>
            <w:r>
              <w:rPr>
                <w:sz w:val="18"/>
              </w:rPr>
              <w:t>640 × 640</w:t>
            </w:r>
          </w:p>
        </w:tc>
        <w:tc>
          <w:tcPr>
            <w:tcW w:type="dxa" w:w="2880"/>
            <w:shd w:val="clear" w:color="auto" w:fill="FFFFFF"/>
          </w:tcPr>
          <w:p>
            <w:r>
              <w:rPr>
                <w:sz w:val="18"/>
              </w:rPr>
              <w:t>Fixed model input resolution (baked into ONNX graph)</w:t>
            </w:r>
          </w:p>
        </w:tc>
      </w:tr>
      <w:tr>
        <w:tc>
          <w:tcPr>
            <w:tcW w:type="dxa" w:w="2880"/>
            <w:shd w:val="clear" w:color="auto" w:fill="D6E4F0"/>
          </w:tcPr>
          <w:p>
            <w:r>
              <w:rPr>
                <w:sz w:val="18"/>
              </w:rPr>
              <w:t>frame_skip</w:t>
            </w:r>
          </w:p>
        </w:tc>
        <w:tc>
          <w:tcPr>
            <w:tcW w:type="dxa" w:w="2880"/>
            <w:shd w:val="clear" w:color="auto" w:fill="D6E4F0"/>
          </w:tcPr>
          <w:p>
            <w:r>
              <w:rPr>
                <w:sz w:val="18"/>
              </w:rPr>
              <w:t>3</w:t>
            </w:r>
          </w:p>
        </w:tc>
        <w:tc>
          <w:tcPr>
            <w:tcW w:type="dxa" w:w="2880"/>
            <w:shd w:val="clear" w:color="auto" w:fill="D6E4F0"/>
          </w:tcPr>
          <w:p>
            <w:r>
              <w:rPr>
                <w:sz w:val="18"/>
              </w:rPr>
              <w:t>Run YOLO every 4th frame; SORT tracks on all frames</w:t>
            </w:r>
          </w:p>
        </w:tc>
      </w:tr>
      <w:tr>
        <w:tc>
          <w:tcPr>
            <w:tcW w:type="dxa" w:w="2880"/>
            <w:shd w:val="clear" w:color="auto" w:fill="FFFFFF"/>
          </w:tcPr>
          <w:p>
            <w:r>
              <w:rPr>
                <w:sz w:val="18"/>
              </w:rPr>
              <w:t>max_age</w:t>
            </w:r>
          </w:p>
        </w:tc>
        <w:tc>
          <w:tcPr>
            <w:tcW w:type="dxa" w:w="2880"/>
            <w:shd w:val="clear" w:color="auto" w:fill="FFFFFF"/>
          </w:tcPr>
          <w:p>
            <w:r>
              <w:rPr>
                <w:sz w:val="18"/>
              </w:rPr>
              <w:t>30</w:t>
            </w:r>
          </w:p>
        </w:tc>
        <w:tc>
          <w:tcPr>
            <w:tcW w:type="dxa" w:w="2880"/>
            <w:shd w:val="clear" w:color="auto" w:fill="FFFFFF"/>
          </w:tcPr>
          <w:p>
            <w:r>
              <w:rPr>
                <w:sz w:val="18"/>
              </w:rPr>
              <w:t>SORT: frames a track survives without a matched detection</w:t>
            </w:r>
          </w:p>
        </w:tc>
      </w:tr>
      <w:tr>
        <w:tc>
          <w:tcPr>
            <w:tcW w:type="dxa" w:w="2880"/>
            <w:shd w:val="clear" w:color="auto" w:fill="D6E4F0"/>
          </w:tcPr>
          <w:p>
            <w:r>
              <w:rPr>
                <w:sz w:val="18"/>
              </w:rPr>
              <w:t>min_hits</w:t>
            </w:r>
          </w:p>
        </w:tc>
        <w:tc>
          <w:tcPr>
            <w:tcW w:type="dxa" w:w="2880"/>
            <w:shd w:val="clear" w:color="auto" w:fill="D6E4F0"/>
          </w:tcPr>
          <w:p>
            <w:r>
              <w:rPr>
                <w:sz w:val="18"/>
              </w:rPr>
              <w:t>3</w:t>
            </w:r>
          </w:p>
        </w:tc>
        <w:tc>
          <w:tcPr>
            <w:tcW w:type="dxa" w:w="2880"/>
            <w:shd w:val="clear" w:color="auto" w:fill="D6E4F0"/>
          </w:tcPr>
          <w:p>
            <w:r>
              <w:rPr>
                <w:sz w:val="18"/>
              </w:rPr>
              <w:t>SORT: detections needed before a track is confirmed</w:t>
            </w:r>
          </w:p>
        </w:tc>
      </w:tr>
    </w:tbl>
    <w:p/>
    <w:p>
      <w:pPr>
        <w:pStyle w:val="Heading1"/>
      </w:pPr>
      <w:r>
        <w:t>4. Stationary Detection Formula</w:t>
      </w:r>
    </w:p>
    <w:p>
      <w:pPr>
        <w:ind w:left="432" w:right="432"/>
      </w:pPr>
      <w:r>
        <w:rPr>
          <w:i/>
          <w:color w:val="1A5276"/>
          <w:sz w:val="19"/>
        </w:rPr>
        <w:t>displacement(t) = √[ (x_t − x_{t−1})² + (y_t − y_{t−1})² ]</w:t>
        <w:br/>
        <w:br/>
        <w:t>if displacement(t) &lt; 20 pixels:</w:t>
        <w:br/>
        <w:t xml:space="preserve">    stationary_duration += Δt   (increment timer)</w:t>
        <w:br/>
        <w:t>else:</w:t>
        <w:br/>
        <w:t xml:space="preserve">    stationary_duration = 0     (reset timer)</w:t>
      </w:r>
    </w:p>
    <w:p>
      <w:r>
        <w:t>The centroid displacement is measured in raw pixel space between consecutive frames. The 20-pixel threshold is tuned for the typical camera placement distance from the pen; it is adjustable in config.yaml via the stationary_pixel_threshold parameter.</w:t>
      </w:r>
    </w:p>
    <w:p>
      <w:pPr>
        <w:pStyle w:val="Heading1"/>
      </w:pPr>
      <w:r>
        <w:t>5. Model Accuracy Metrics Achieved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Metric</w:t>
            </w:r>
          </w:p>
        </w:tc>
        <w:tc>
          <w:tcPr>
            <w:tcW w:type="dxa" w:w="2160"/>
            <w:shd w:val="clear" w:color="auto" w:fill="1F4E79"/>
          </w:tcPr>
          <w:p>
            <w:pPr>
              <w:jc w:val="center"/>
            </w:pPr>
            <w:r>
              <w:rPr>
                <w:b/>
                <w:color w:val="FFFFFF"/>
                <w:sz w:val="20"/>
              </w:rPr>
              <w:t>Value</w:t>
            </w:r>
          </w:p>
        </w:tc>
        <w:tc>
          <w:tcPr>
            <w:tcW w:type="dxa" w:w="2160"/>
            <w:shd w:val="clear" w:color="auto" w:fill="1F4E79"/>
          </w:tcPr>
          <w:p>
            <w:pPr>
              <w:jc w:val="center"/>
            </w:pPr>
            <w:r>
              <w:rPr>
                <w:b/>
                <w:color w:val="FFFFFF"/>
                <w:sz w:val="20"/>
              </w:rPr>
              <w:t>Target</w:t>
            </w:r>
          </w:p>
        </w:tc>
        <w:tc>
          <w:tcPr>
            <w:tcW w:type="dxa" w:w="2160"/>
            <w:shd w:val="clear" w:color="auto" w:fill="1F4E79"/>
          </w:tcPr>
          <w:p>
            <w:pPr>
              <w:jc w:val="center"/>
            </w:pPr>
            <w:r>
              <w:rPr>
                <w:b/>
                <w:color w:val="FFFFFF"/>
                <w:sz w:val="20"/>
              </w:rPr>
              <w:t>Status</w:t>
            </w:r>
          </w:p>
        </w:tc>
      </w:tr>
      <w:tr>
        <w:tc>
          <w:tcPr>
            <w:tcW w:type="dxa" w:w="2160"/>
            <w:shd w:val="clear" w:color="auto" w:fill="FFFFFF"/>
          </w:tcPr>
          <w:p>
            <w:r>
              <w:rPr>
                <w:sz w:val="18"/>
              </w:rPr>
              <w:t>mAP50 (mean Average Precision)</w:t>
            </w:r>
          </w:p>
        </w:tc>
        <w:tc>
          <w:tcPr>
            <w:tcW w:type="dxa" w:w="2160"/>
            <w:shd w:val="clear" w:color="auto" w:fill="FFFFFF"/>
          </w:tcPr>
          <w:p>
            <w:r>
              <w:rPr>
                <w:sz w:val="18"/>
              </w:rPr>
              <w:t>0.827</w:t>
            </w:r>
          </w:p>
        </w:tc>
        <w:tc>
          <w:tcPr>
            <w:tcW w:type="dxa" w:w="2160"/>
            <w:shd w:val="clear" w:color="auto" w:fill="FFFFFF"/>
          </w:tcPr>
          <w:p>
            <w:r>
              <w:rPr>
                <w:sz w:val="18"/>
              </w:rPr>
              <w:t>≥ 0.70</w:t>
            </w:r>
          </w:p>
        </w:tc>
        <w:tc>
          <w:tcPr>
            <w:tcW w:type="dxa" w:w="2160"/>
            <w:shd w:val="clear" w:color="auto" w:fill="FFFFFF"/>
          </w:tcPr>
          <w:p>
            <w:r>
              <w:rPr>
                <w:sz w:val="18"/>
              </w:rPr>
              <w:t>✅ Exceeded</w:t>
            </w:r>
          </w:p>
        </w:tc>
      </w:tr>
      <w:tr>
        <w:tc>
          <w:tcPr>
            <w:tcW w:type="dxa" w:w="2160"/>
            <w:shd w:val="clear" w:color="auto" w:fill="D6E4F0"/>
          </w:tcPr>
          <w:p>
            <w:r>
              <w:rPr>
                <w:sz w:val="18"/>
              </w:rPr>
              <w:t>mAP50-95</w:t>
            </w:r>
          </w:p>
        </w:tc>
        <w:tc>
          <w:tcPr>
            <w:tcW w:type="dxa" w:w="2160"/>
            <w:shd w:val="clear" w:color="auto" w:fill="D6E4F0"/>
          </w:tcPr>
          <w:p>
            <w:r>
              <w:rPr>
                <w:sz w:val="18"/>
              </w:rPr>
              <w:t>~0.60+</w:t>
            </w:r>
          </w:p>
        </w:tc>
        <w:tc>
          <w:tcPr>
            <w:tcW w:type="dxa" w:w="2160"/>
            <w:shd w:val="clear" w:color="auto" w:fill="D6E4F0"/>
          </w:tcPr>
          <w:p>
            <w:r>
              <w:rPr>
                <w:sz w:val="18"/>
              </w:rPr>
              <w:t>&gt; 0.50</w:t>
            </w:r>
          </w:p>
        </w:tc>
        <w:tc>
          <w:tcPr>
            <w:tcW w:type="dxa" w:w="2160"/>
            <w:shd w:val="clear" w:color="auto" w:fill="D6E4F0"/>
          </w:tcPr>
          <w:p>
            <w:r>
              <w:rPr>
                <w:sz w:val="18"/>
              </w:rPr>
              <w:t>✅ Met</w:t>
            </w:r>
          </w:p>
        </w:tc>
      </w:tr>
      <w:tr>
        <w:tc>
          <w:tcPr>
            <w:tcW w:type="dxa" w:w="2160"/>
            <w:shd w:val="clear" w:color="auto" w:fill="FFFFFF"/>
          </w:tcPr>
          <w:p>
            <w:r>
              <w:rPr>
                <w:sz w:val="18"/>
              </w:rPr>
              <w:t>Inference Time (CPU, Pi 4B)</w:t>
            </w:r>
          </w:p>
        </w:tc>
        <w:tc>
          <w:tcPr>
            <w:tcW w:type="dxa" w:w="2160"/>
            <w:shd w:val="clear" w:color="auto" w:fill="FFFFFF"/>
          </w:tcPr>
          <w:p>
            <w:r>
              <w:rPr>
                <w:sz w:val="18"/>
              </w:rPr>
              <w:t>~48 ms</w:t>
            </w:r>
          </w:p>
        </w:tc>
        <w:tc>
          <w:tcPr>
            <w:tcW w:type="dxa" w:w="2160"/>
            <w:shd w:val="clear" w:color="auto" w:fill="FFFFFF"/>
          </w:tcPr>
          <w:p>
            <w:r>
              <w:rPr>
                <w:sz w:val="18"/>
              </w:rPr>
              <w:t>≤ 150 ms</w:t>
            </w:r>
          </w:p>
        </w:tc>
        <w:tc>
          <w:tcPr>
            <w:tcW w:type="dxa" w:w="2160"/>
            <w:shd w:val="clear" w:color="auto" w:fill="FFFFFF"/>
          </w:tcPr>
          <w:p>
            <w:r>
              <w:rPr>
                <w:sz w:val="18"/>
              </w:rPr>
              <w:t>✅ Met</w:t>
            </w:r>
          </w:p>
        </w:tc>
      </w:tr>
      <w:tr>
        <w:tc>
          <w:tcPr>
            <w:tcW w:type="dxa" w:w="2160"/>
            <w:shd w:val="clear" w:color="auto" w:fill="D6E4F0"/>
          </w:tcPr>
          <w:p>
            <w:r>
              <w:rPr>
                <w:sz w:val="18"/>
              </w:rPr>
              <w:t>ONNX Export Speedup</w:t>
            </w:r>
          </w:p>
        </w:tc>
        <w:tc>
          <w:tcPr>
            <w:tcW w:type="dxa" w:w="2160"/>
            <w:shd w:val="clear" w:color="auto" w:fill="D6E4F0"/>
          </w:tcPr>
          <w:p>
            <w:r>
              <w:rPr>
                <w:sz w:val="18"/>
              </w:rPr>
              <w:t>+57.2% vs PyTorch</w:t>
            </w:r>
          </w:p>
        </w:tc>
        <w:tc>
          <w:tcPr>
            <w:tcW w:type="dxa" w:w="2160"/>
            <w:shd w:val="clear" w:color="auto" w:fill="D6E4F0"/>
          </w:tcPr>
          <w:p>
            <w:r>
              <w:rPr>
                <w:sz w:val="18"/>
              </w:rPr>
              <w:t>&gt; 30%</w:t>
            </w:r>
          </w:p>
        </w:tc>
        <w:tc>
          <w:tcPr>
            <w:tcW w:type="dxa" w:w="2160"/>
            <w:shd w:val="clear" w:color="auto" w:fill="D6E4F0"/>
          </w:tcPr>
          <w:p>
            <w:r>
              <w:rPr>
                <w:sz w:val="18"/>
              </w:rPr>
              <w:t>✅ Exceeded</w:t>
            </w:r>
          </w:p>
        </w:tc>
      </w:tr>
      <w:tr>
        <w:tc>
          <w:tcPr>
            <w:tcW w:type="dxa" w:w="2160"/>
            <w:shd w:val="clear" w:color="auto" w:fill="FFFFFF"/>
          </w:tcPr>
          <w:p>
            <w:r>
              <w:rPr>
                <w:sz w:val="18"/>
              </w:rPr>
              <w:t>ONNX Model Size</w:t>
            </w:r>
          </w:p>
        </w:tc>
        <w:tc>
          <w:tcPr>
            <w:tcW w:type="dxa" w:w="2160"/>
            <w:shd w:val="clear" w:color="auto" w:fill="FFFFFF"/>
          </w:tcPr>
          <w:p>
            <w:r>
              <w:rPr>
                <w:sz w:val="18"/>
              </w:rPr>
              <w:t>11.7 MB</w:t>
            </w:r>
          </w:p>
        </w:tc>
        <w:tc>
          <w:tcPr>
            <w:tcW w:type="dxa" w:w="2160"/>
            <w:shd w:val="clear" w:color="auto" w:fill="FFFFFF"/>
          </w:tcPr>
          <w:p>
            <w:r>
              <w:rPr>
                <w:sz w:val="18"/>
              </w:rPr>
              <w:t>&lt; 20 MB</w:t>
            </w:r>
          </w:p>
        </w:tc>
        <w:tc>
          <w:tcPr>
            <w:tcW w:type="dxa" w:w="2160"/>
            <w:shd w:val="clear" w:color="auto" w:fill="FFFFFF"/>
          </w:tcPr>
          <w:p>
            <w:r>
              <w:rPr>
                <w:sz w:val="18"/>
              </w:rPr>
              <w:t>✅ Met</w:t>
            </w:r>
          </w:p>
        </w:tc>
      </w:tr>
      <w:tr>
        <w:tc>
          <w:tcPr>
            <w:tcW w:type="dxa" w:w="2160"/>
            <w:shd w:val="clear" w:color="auto" w:fill="D6E4F0"/>
          </w:tcPr>
          <w:p>
            <w:r>
              <w:rPr>
                <w:sz w:val="18"/>
              </w:rPr>
              <w:t>Effective Processing FPS</w:t>
            </w:r>
          </w:p>
        </w:tc>
        <w:tc>
          <w:tcPr>
            <w:tcW w:type="dxa" w:w="2160"/>
            <w:shd w:val="clear" w:color="auto" w:fill="D6E4F0"/>
          </w:tcPr>
          <w:p>
            <w:r>
              <w:rPr>
                <w:sz w:val="18"/>
              </w:rPr>
              <w:t>25–30 FPS (with skip)</w:t>
            </w:r>
          </w:p>
        </w:tc>
        <w:tc>
          <w:tcPr>
            <w:tcW w:type="dxa" w:w="2160"/>
            <w:shd w:val="clear" w:color="auto" w:fill="D6E4F0"/>
          </w:tcPr>
          <w:p>
            <w:r>
              <w:rPr>
                <w:sz w:val="18"/>
              </w:rPr>
              <w:t>≥ 5 FPS</w:t>
            </w:r>
          </w:p>
        </w:tc>
        <w:tc>
          <w:tcPr>
            <w:tcW w:type="dxa" w:w="2160"/>
            <w:shd w:val="clear" w:color="auto" w:fill="D6E4F0"/>
          </w:tcPr>
          <w:p>
            <w:r>
              <w:rPr>
                <w:sz w:val="18"/>
              </w:rPr>
              <w:t>✅ Far Exceeded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