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proposed-pyraclaw-sevenproduct-line"/>
    <w:p>
      <w:pPr>
        <w:pStyle w:val="Heading1"/>
      </w:pPr>
      <w:r>
        <w:t xml:space="preserve">Proposed PyraClaw Seven‑Product Line</w:t>
      </w:r>
    </w:p>
    <w:bookmarkStart w:id="23" w:name="X8212ccc36e1f7add6908408d339645f4c154434"/>
    <w:p>
      <w:pPr>
        <w:pStyle w:val="Heading2"/>
      </w:pPr>
      <w:r>
        <w:t xml:space="preserve">Onboarding insights from the attached files</w:t>
      </w:r>
    </w:p>
    <w:p>
      <w:pPr>
        <w:numPr>
          <w:ilvl w:val="0"/>
          <w:numId w:val="1001"/>
        </w:numPr>
      </w:pPr>
      <w:r>
        <w:rPr>
          <w:b/>
          <w:bCs/>
        </w:rPr>
        <w:t xml:space="preserve">Adaptive coordinator &amp; dynamic topology</w:t>
      </w:r>
      <w:r>
        <w:t xml:space="preserve"> </w:t>
      </w:r>
      <w:r>
        <w:t xml:space="preserve">– The</w:t>
      </w:r>
      <w:r>
        <w:t xml:space="preserve"> </w:t>
      </w:r>
      <w:r>
        <w:rPr>
          <w:rStyle w:val="VerbatimChar"/>
        </w:rPr>
        <w:t xml:space="preserve">Pasted markdown</w:t>
      </w:r>
      <w:r>
        <w:t xml:space="preserve"> </w:t>
      </w:r>
      <w:r>
        <w:t xml:space="preserve">file describes an</w:t>
      </w:r>
      <w:r>
        <w:t xml:space="preserve"> </w:t>
      </w:r>
      <w:r>
        <w:rPr>
          <w:i/>
          <w:iCs/>
        </w:rPr>
        <w:t xml:space="preserve">adaptive coordinator</w:t>
      </w:r>
      <w:r>
        <w:t xml:space="preserve"> </w:t>
      </w:r>
      <w:r>
        <w:t xml:space="preserve">that monitors workload complexity, parallelizability and interdependencies, then switches swarm topologies (hierarchical, mesh, ring or hybrid) to optimise performance. It includes ML‑driven pattern analysis, predictive scaling and rollback protocols for safe adaptation. The system emphasises continuous learning, gradual transitions, performance validation and rollback preparedness. These principles demonstrate that PyraClaw products should be</w:t>
      </w:r>
      <w:r>
        <w:t xml:space="preserve"> </w:t>
      </w:r>
      <w:r>
        <w:rPr>
          <w:b/>
          <w:bCs/>
        </w:rPr>
        <w:t xml:space="preserve">self‑optimising</w:t>
      </w:r>
      <w:r>
        <w:t xml:space="preserve">,</w:t>
      </w:r>
      <w:r>
        <w:t xml:space="preserve"> </w:t>
      </w:r>
      <w:r>
        <w:rPr>
          <w:b/>
          <w:bCs/>
        </w:rPr>
        <w:t xml:space="preserve">evidence‑driven</w:t>
      </w:r>
      <w:r>
        <w:t xml:space="preserve"> </w:t>
      </w:r>
      <w:r>
        <w:t xml:space="preserve">and</w:t>
      </w:r>
      <w:r>
        <w:t xml:space="preserve"> </w:t>
      </w:r>
      <w:r>
        <w:rPr>
          <w:b/>
          <w:bCs/>
        </w:rPr>
        <w:t xml:space="preserve">capable of graceful upgrades</w:t>
      </w:r>
      <w:r>
        <w:t xml:space="preserve">.</w:t>
      </w:r>
    </w:p>
    <w:p>
      <w:pPr>
        <w:numPr>
          <w:ilvl w:val="0"/>
          <w:numId w:val="1001"/>
        </w:numPr>
      </w:pPr>
      <w:r>
        <w:rPr>
          <w:b/>
          <w:bCs/>
        </w:rPr>
        <w:t xml:space="preserve">Magnetic Stem runtime &amp; registry</w:t>
      </w:r>
      <w:r>
        <w:t xml:space="preserve"> </w:t>
      </w:r>
      <w:r>
        <w:t xml:space="preserve">– The DOCX file contains a full “Magnetic Stem” runtime: a hardened Python service with a non‑root Dockerfile,</w:t>
      </w:r>
      <w:r>
        <w:t xml:space="preserve"> </w:t>
      </w:r>
      <w:r>
        <w:rPr>
          <w:rStyle w:val="VerbatimChar"/>
        </w:rPr>
        <w:t xml:space="preserve">.env</w:t>
      </w:r>
      <w:r>
        <w:t xml:space="preserve"> </w:t>
      </w:r>
      <w:r>
        <w:t xml:space="preserve">configuration, RAG collection manifest, activation policies, Kubernetes manifests and runtime code. The runtime manages</w:t>
      </w:r>
      <w:r>
        <w:t xml:space="preserve"> </w:t>
      </w:r>
      <w:r>
        <w:rPr>
          <w:b/>
          <w:bCs/>
        </w:rPr>
        <w:t xml:space="preserve">agent arrival</w:t>
      </w:r>
      <w:r>
        <w:t xml:space="preserve">,</w:t>
      </w:r>
      <w:r>
        <w:t xml:space="preserve"> </w:t>
      </w:r>
      <w:r>
        <w:rPr>
          <w:b/>
          <w:bCs/>
        </w:rPr>
        <w:t xml:space="preserve">washing</w:t>
      </w:r>
      <w:r>
        <w:t xml:space="preserve">,</w:t>
      </w:r>
      <w:r>
        <w:t xml:space="preserve"> </w:t>
      </w:r>
      <w:r>
        <w:rPr>
          <w:b/>
          <w:bCs/>
        </w:rPr>
        <w:t xml:space="preserve">registry updates</w:t>
      </w:r>
      <w:r>
        <w:t xml:space="preserve">,</w:t>
      </w:r>
      <w:r>
        <w:t xml:space="preserve"> </w:t>
      </w:r>
      <w:r>
        <w:rPr>
          <w:b/>
          <w:bCs/>
        </w:rPr>
        <w:t xml:space="preserve">task routing</w:t>
      </w:r>
      <w:r>
        <w:t xml:space="preserve">,</w:t>
      </w:r>
      <w:r>
        <w:t xml:space="preserve"> </w:t>
      </w:r>
      <w:r>
        <w:rPr>
          <w:b/>
          <w:bCs/>
        </w:rPr>
        <w:t xml:space="preserve">metrics</w:t>
      </w:r>
      <w:r>
        <w:t xml:space="preserve"> </w:t>
      </w:r>
      <w:r>
        <w:t xml:space="preserve">and</w:t>
      </w:r>
      <w:r>
        <w:t xml:space="preserve"> </w:t>
      </w:r>
      <w:r>
        <w:rPr>
          <w:b/>
          <w:bCs/>
        </w:rPr>
        <w:t xml:space="preserve">dead‑letter handling</w:t>
      </w:r>
      <w:r>
        <w:t xml:space="preserve">, with instrumentation for health checks, tests and metrics export. This shows the importance of</w:t>
      </w:r>
      <w:r>
        <w:t xml:space="preserve"> </w:t>
      </w:r>
      <w:r>
        <w:rPr>
          <w:b/>
          <w:bCs/>
        </w:rPr>
        <w:t xml:space="preserve">secure infrastructure</w:t>
      </w:r>
      <w:r>
        <w:t xml:space="preserve">,</w:t>
      </w:r>
      <w:r>
        <w:t xml:space="preserve"> </w:t>
      </w:r>
      <w:r>
        <w:rPr>
          <w:b/>
          <w:bCs/>
        </w:rPr>
        <w:t xml:space="preserve">agent lifecycle management</w:t>
      </w:r>
      <w:r>
        <w:t xml:space="preserve"> </w:t>
      </w:r>
      <w:r>
        <w:t xml:space="preserve">and</w:t>
      </w:r>
      <w:r>
        <w:t xml:space="preserve"> </w:t>
      </w:r>
      <w:r>
        <w:rPr>
          <w:b/>
          <w:bCs/>
        </w:rPr>
        <w:t xml:space="preserve">observability</w:t>
      </w:r>
      <w:r>
        <w:t xml:space="preserve"> </w:t>
      </w:r>
      <w:r>
        <w:t xml:space="preserve">in the product line.</w:t>
      </w:r>
    </w:p>
    <w:p>
      <w:pPr>
        <w:numPr>
          <w:ilvl w:val="0"/>
          <w:numId w:val="1001"/>
        </w:numPr>
      </w:pPr>
      <w:r>
        <w:rPr>
          <w:b/>
          <w:bCs/>
        </w:rPr>
        <w:t xml:space="preserve">Hardened build definition</w:t>
      </w:r>
      <w:r>
        <w:t xml:space="preserve"> </w:t>
      </w:r>
      <w:r>
        <w:t xml:space="preserve">– The</w:t>
      </w:r>
      <w:r>
        <w:t xml:space="preserve"> </w:t>
      </w:r>
      <w:r>
        <w:rPr>
          <w:rStyle w:val="VerbatimChar"/>
        </w:rPr>
        <w:t xml:space="preserve">.pyraclaw</w:t>
      </w:r>
      <w:r>
        <w:t xml:space="preserve"> </w:t>
      </w:r>
      <w:r>
        <w:t xml:space="preserve">file is a multi‑stage Docker build emphasising security (minimal base image, non‑root user, removal of SUID bits, read‑only intent). It embeds metadata such as ORCID and patent identifiers and prepares directories for the Diamond Army and Nemoclaw components. This underscores the need for</w:t>
      </w:r>
      <w:r>
        <w:t xml:space="preserve"> </w:t>
      </w:r>
      <w:r>
        <w:rPr>
          <w:b/>
          <w:bCs/>
        </w:rPr>
        <w:t xml:space="preserve">compliance‑first engineering</w:t>
      </w:r>
      <w:r>
        <w:t xml:space="preserve"> </w:t>
      </w:r>
      <w:r>
        <w:t xml:space="preserve">and</w:t>
      </w:r>
      <w:r>
        <w:t xml:space="preserve"> </w:t>
      </w:r>
      <w:r>
        <w:rPr>
          <w:b/>
          <w:bCs/>
        </w:rPr>
        <w:t xml:space="preserve">evidence‑rich metadata</w:t>
      </w:r>
      <w:r>
        <w:t xml:space="preserve"> </w:t>
      </w:r>
      <w:r>
        <w:t xml:space="preserve">in the product design.</w:t>
      </w:r>
    </w:p>
    <w:p>
      <w:pPr>
        <w:numPr>
          <w:ilvl w:val="0"/>
          <w:numId w:val="1001"/>
        </w:numPr>
      </w:pPr>
      <w:r>
        <w:rPr>
          <w:b/>
          <w:bCs/>
        </w:rPr>
        <w:t xml:space="preserve">Comprehensive orchestration repository</w:t>
      </w:r>
      <w:r>
        <w:t xml:space="preserve"> </w:t>
      </w:r>
      <w:r>
        <w:t xml:space="preserve">– The zipped archive expands into a full Next.js and tRPC application with investor‑grade UI components, server code for runtime, evidence and provenance endpoints, database schema, and documentation (end‑result summary, slides, presentation directions). The slides specify a</w:t>
      </w:r>
      <w:r>
        <w:t xml:space="preserve"> </w:t>
      </w:r>
      <w:r>
        <w:rPr>
          <w:b/>
          <w:bCs/>
        </w:rPr>
        <w:t xml:space="preserve">dark obsidian, deep‑space blue, platinum and polished gold</w:t>
      </w:r>
      <w:r>
        <w:t xml:space="preserve"> </w:t>
      </w:r>
      <w:r>
        <w:t xml:space="preserve">aesthetic with precise grids and photorealistic surfaces. They stress that</w:t>
      </w:r>
      <w:r>
        <w:t xml:space="preserve"> </w:t>
      </w:r>
      <w:r>
        <w:rPr>
          <w:rStyle w:val="VerbatimChar"/>
        </w:rPr>
        <w:t xml:space="preserve">.brev</w:t>
      </w:r>
      <w:r>
        <w:t xml:space="preserve"> </w:t>
      </w:r>
      <w:r>
        <w:t xml:space="preserve">should be the</w:t>
      </w:r>
      <w:r>
        <w:t xml:space="preserve"> </w:t>
      </w:r>
      <w:r>
        <w:rPr>
          <w:b/>
          <w:bCs/>
        </w:rPr>
        <w:t xml:space="preserve">experimental rehearsal chamber</w:t>
      </w:r>
      <w:r>
        <w:t xml:space="preserve">, agentic RAG should be the</w:t>
      </w:r>
      <w:r>
        <w:t xml:space="preserve"> </w:t>
      </w:r>
      <w:r>
        <w:rPr>
          <w:b/>
          <w:bCs/>
        </w:rPr>
        <w:t xml:space="preserve">memory and evidence spine</w:t>
      </w:r>
      <w:r>
        <w:t xml:space="preserve">, and the best operating model is</w:t>
      </w:r>
      <w:r>
        <w:t xml:space="preserve"> </w:t>
      </w:r>
      <w:r>
        <w:rPr>
          <w:b/>
          <w:bCs/>
        </w:rPr>
        <w:t xml:space="preserve">“iAiA decides, pyraClaw executes, RAG grounds,</w:t>
      </w:r>
      <w:r>
        <w:rPr>
          <w:b/>
          <w:bCs/>
        </w:rPr>
        <w:t xml:space="preserve"> </w:t>
      </w:r>
      <w:r>
        <w:rPr>
          <w:rStyle w:val="VerbatimChar"/>
          <w:b/>
          <w:bCs/>
        </w:rPr>
        <w:t xml:space="preserve">.brev</w:t>
      </w:r>
      <w:r>
        <w:rPr>
          <w:b/>
          <w:bCs/>
        </w:rPr>
        <w:t xml:space="preserve"> </w:t>
      </w:r>
      <w:r>
        <w:rPr>
          <w:b/>
          <w:bCs/>
        </w:rPr>
        <w:t xml:space="preserve">accelerates”</w:t>
      </w:r>
      <w:r>
        <w:t xml:space="preserve">. This guidance informs the visual style and layered architecture of the product line.</w:t>
      </w:r>
    </w:p>
    <w:p>
      <w:pPr>
        <w:numPr>
          <w:ilvl w:val="0"/>
          <w:numId w:val="1001"/>
        </w:numPr>
      </w:pPr>
      <w:r>
        <w:rPr>
          <w:b/>
          <w:bCs/>
        </w:rPr>
        <w:t xml:space="preserve">NVIDIA and Brev integration</w:t>
      </w:r>
      <w:r>
        <w:t xml:space="preserve"> </w:t>
      </w:r>
      <w:r>
        <w:t xml:space="preserve">– External research shows that the</w:t>
      </w:r>
      <w:r>
        <w:t xml:space="preserve"> </w:t>
      </w:r>
      <w:r>
        <w:rPr>
          <w:b/>
          <w:bCs/>
        </w:rPr>
        <w:t xml:space="preserve">Nvidia Brev MCP server</w:t>
      </w:r>
      <w:r>
        <w:t xml:space="preserve"> </w:t>
      </w:r>
      <w:r>
        <w:t xml:space="preserve">is a lightweight middleware that listens for standardized commands from an AI agent and translates them into Brev CLI operations, allowing the agent to start, stop and manage GPU workspaces via natural language</w:t>
      </w:r>
      <w:hyperlink r:id="rId21">
        <w:r>
          <w:rPr>
            <w:rStyle w:val="Hyperlink"/>
          </w:rPr>
          <w:t xml:space="preserve">[1]</w:t>
        </w:r>
      </w:hyperlink>
      <w:r>
        <w:t xml:space="preserve">.</w:t>
      </w:r>
      <w:r>
        <w:t xml:space="preserve"> </w:t>
      </w:r>
      <w:r>
        <w:rPr>
          <w:b/>
          <w:bCs/>
        </w:rPr>
        <w:t xml:space="preserve">NemoClaw</w:t>
      </w:r>
      <w:r>
        <w:t xml:space="preserve"> </w:t>
      </w:r>
      <w:r>
        <w:t xml:space="preserve">is an open‑source stack that adds privacy and security controls to OpenClaw; it installs the NVIDIA Agent Toolkit and OpenShell to enforce policy‑based guardrails and evaluates available compute resources to run high‑performance models locally</w:t>
      </w:r>
      <w:hyperlink r:id="rId22">
        <w:r>
          <w:rPr>
            <w:rStyle w:val="Hyperlink"/>
          </w:rPr>
          <w:t xml:space="preserve">[2]</w:t>
        </w:r>
      </w:hyperlink>
      <w:r>
        <w:t xml:space="preserve">. These sources highlight the necessity of</w:t>
      </w:r>
      <w:r>
        <w:t xml:space="preserve"> </w:t>
      </w:r>
      <w:r>
        <w:rPr>
          <w:b/>
          <w:bCs/>
        </w:rPr>
        <w:t xml:space="preserve">conversational infrastructure</w:t>
      </w:r>
      <w:r>
        <w:t xml:space="preserve"> </w:t>
      </w:r>
      <w:r>
        <w:t xml:space="preserve">and</w:t>
      </w:r>
      <w:r>
        <w:t xml:space="preserve"> </w:t>
      </w:r>
      <w:r>
        <w:rPr>
          <w:b/>
          <w:bCs/>
        </w:rPr>
        <w:t xml:space="preserve">privacy‑first GPU execution</w:t>
      </w:r>
      <w:r>
        <w:t xml:space="preserve"> </w:t>
      </w:r>
      <w:r>
        <w:t xml:space="preserve">for future AI platforms.</w:t>
      </w:r>
    </w:p>
    <w:bookmarkEnd w:id="23"/>
    <w:bookmarkStart w:id="32" w:name="sevenproduct-vision"/>
    <w:p>
      <w:pPr>
        <w:pStyle w:val="Heading2"/>
      </w:pPr>
      <w:r>
        <w:t xml:space="preserve">Seven‑product vision</w:t>
      </w:r>
    </w:p>
    <w:bookmarkStart w:id="24" w:name="pyracommand-executive-command-centre"/>
    <w:p>
      <w:pPr>
        <w:pStyle w:val="Heading3"/>
      </w:pPr>
      <w:r>
        <w:t xml:space="preserve">1.</w:t>
      </w:r>
      <w:r>
        <w:t xml:space="preserve"> </w:t>
      </w:r>
      <w:r>
        <w:rPr>
          <w:b/>
          <w:bCs/>
        </w:rPr>
        <w:t xml:space="preserve">PyraCommand – Executive Command Centre</w:t>
      </w:r>
    </w:p>
    <w:p>
      <w:pPr>
        <w:pStyle w:val="FirstParagraph"/>
      </w:pPr>
      <w:r>
        <w:t xml:space="preserve">A cinematographic cockpit that orchestrates the entire PyraClaw ecosystem. This React/Next.js application would adopt the dark‑obsidian, platinum‑and‑gold design language. It displays live data on runtime agents, GPU sessions, evidence status and integration health via dashboards and microsecond timestamps. Commands typed or spoken in natural language are relayed through the Brev MCP server to start/stop GPU instances or allocate resources</w:t>
      </w:r>
      <w:hyperlink r:id="rId21">
        <w:r>
          <w:rPr>
            <w:rStyle w:val="Hyperlink"/>
          </w:rPr>
          <w:t xml:space="preserve">[1]</w:t>
        </w:r>
      </w:hyperlink>
      <w:r>
        <w:t xml:space="preserve">. The interface includes cinematic camera pans, subtle parallax and real‑time log streams reminiscent of film directors’ monitors. Operators can switch between hierarchical, mesh or ring modes (reflecting the adaptive coordinator) and watch the system reconfigure in real time.</w:t>
      </w:r>
    </w:p>
    <w:bookmarkEnd w:id="24"/>
    <w:bookmarkStart w:id="26" w:name="pyracontainer-sovereign-storage-compute"/>
    <w:p>
      <w:pPr>
        <w:pStyle w:val="Heading3"/>
      </w:pPr>
      <w:r>
        <w:t xml:space="preserve">2.</w:t>
      </w:r>
      <w:r>
        <w:t xml:space="preserve"> </w:t>
      </w:r>
      <w:r>
        <w:rPr>
          <w:b/>
          <w:bCs/>
        </w:rPr>
        <w:t xml:space="preserve">PyraContainer – Sovereign Storage &amp; Compute</w:t>
      </w:r>
    </w:p>
    <w:p>
      <w:pPr>
        <w:pStyle w:val="FirstParagraph"/>
      </w:pPr>
      <w:r>
        <w:t xml:space="preserve">An ultra‑secure storage and compute layer inspired by the Magnetic Stem and PyraContainer modules described in the docs. It offers</w:t>
      </w:r>
      <w:r>
        <w:t xml:space="preserve"> </w:t>
      </w:r>
      <w:r>
        <w:rPr>
          <w:b/>
          <w:bCs/>
        </w:rPr>
        <w:t xml:space="preserve">10 TB</w:t>
      </w:r>
      <w:r>
        <w:t xml:space="preserve"> </w:t>
      </w:r>
      <w:r>
        <w:t xml:space="preserve">decompressed storage per vault with multi‑zone replication (primary, R2 vault, IPFS pin, cold archive, backup) and compression metrics. The system integrates NemoClaw’s privacy and security controls for always‑on agents</w:t>
      </w:r>
      <w:hyperlink r:id="rId22">
        <w:r>
          <w:rPr>
            <w:rStyle w:val="Hyperlink"/>
          </w:rPr>
          <w:t xml:space="preserve">[2]</w:t>
        </w:r>
      </w:hyperlink>
      <w:r>
        <w:t xml:space="preserve">, evaluating available GPU/CPU resources (A100, B100, GeForce RTX/Blackwell series) to run local models for enhanced privacy and cost‑efficiency</w:t>
      </w:r>
      <w:hyperlink r:id="rId25">
        <w:r>
          <w:rPr>
            <w:rStyle w:val="Hyperlink"/>
          </w:rPr>
          <w:t xml:space="preserve">[3]</w:t>
        </w:r>
      </w:hyperlink>
      <w:r>
        <w:t xml:space="preserve">. PyraContainer surfaces state‑of‑the‑art encryption, CRYSTALS‑Dilithium signatures and a post‑quantum key vault. A cinematic storage visualization shows pulsating data streams between zones.</w:t>
      </w:r>
    </w:p>
    <w:bookmarkEnd w:id="26"/>
    <w:bookmarkStart w:id="27" w:name="pyranft-mcnft-inft-engine"/>
    <w:p>
      <w:pPr>
        <w:pStyle w:val="Heading3"/>
      </w:pPr>
      <w:r>
        <w:t xml:space="preserve">3.</w:t>
      </w:r>
      <w:r>
        <w:t xml:space="preserve"> </w:t>
      </w:r>
      <w:r>
        <w:rPr>
          <w:b/>
          <w:bCs/>
        </w:rPr>
        <w:t xml:space="preserve">PyraNFT – mcNFT &amp; iNFT Engine</w:t>
      </w:r>
    </w:p>
    <w:p>
      <w:pPr>
        <w:pStyle w:val="FirstParagraph"/>
      </w:pPr>
      <w:r>
        <w:t xml:space="preserve">A cognitive token minting platform that lets users create</w:t>
      </w:r>
      <w:r>
        <w:t xml:space="preserve"> </w:t>
      </w:r>
      <w:r>
        <w:rPr>
          <w:b/>
          <w:bCs/>
        </w:rPr>
        <w:t xml:space="preserve">mcNFT</w:t>
      </w:r>
      <w:r>
        <w:t xml:space="preserve"> </w:t>
      </w:r>
      <w:r>
        <w:t xml:space="preserve">(meta‑cognition tokens) and</w:t>
      </w:r>
      <w:r>
        <w:t xml:space="preserve"> </w:t>
      </w:r>
      <w:r>
        <w:rPr>
          <w:b/>
          <w:bCs/>
        </w:rPr>
        <w:t xml:space="preserve">iNFT</w:t>
      </w:r>
      <w:r>
        <w:t xml:space="preserve"> </w:t>
      </w:r>
      <w:r>
        <w:t xml:space="preserve">(interactive NFTs). Each token encapsulates a user’s cognitive blueprint or storyline and is signed using CRYSTALS‑Dilithium for post‑quantum security. Tokens are stored on IPFS/IPFS pin clusters and integrated with multi‑chain support (Ethereum ERC‑721/1155, Polygon, Solana, Sui). A built‑in gallery (PyraShow) displays minted tokens with film‑grade lighting and reflections; mint actions trigger micro‑animations like a film clapperboard. The engine uses</w:t>
      </w:r>
      <w:r>
        <w:t xml:space="preserve"> </w:t>
      </w:r>
      <w:r>
        <w:rPr>
          <w:rStyle w:val="VerbatimChar"/>
        </w:rPr>
        <w:t xml:space="preserve">.brev</w:t>
      </w:r>
      <w:r>
        <w:t xml:space="preserve"> </w:t>
      </w:r>
      <w:r>
        <w:t xml:space="preserve">for on‑chain experiments and promotes successful flows into production.</w:t>
      </w:r>
    </w:p>
    <w:bookmarkEnd w:id="27"/>
    <w:bookmarkStart w:id="28" w:name="pyraevidence-evidence-attestation-room"/>
    <w:p>
      <w:pPr>
        <w:pStyle w:val="Heading3"/>
      </w:pPr>
      <w:r>
        <w:t xml:space="preserve">4.</w:t>
      </w:r>
      <w:r>
        <w:t xml:space="preserve"> </w:t>
      </w:r>
      <w:r>
        <w:rPr>
          <w:b/>
          <w:bCs/>
        </w:rPr>
        <w:t xml:space="preserve">PyraEvidence – Evidence &amp; Attestation Room</w:t>
      </w:r>
    </w:p>
    <w:p>
      <w:pPr>
        <w:pStyle w:val="FirstParagraph"/>
      </w:pPr>
      <w:r>
        <w:t xml:space="preserve">A compliance and provenance hub that ingests DOIs, Zenodo records, ORCID profiles and runtime attestation events. Evidence is stored as</w:t>
      </w:r>
      <w:r>
        <w:t xml:space="preserve"> </w:t>
      </w:r>
      <w:r>
        <w:rPr>
          <w:b/>
          <w:bCs/>
        </w:rPr>
        <w:t xml:space="preserve">PyraCapsules</w:t>
      </w:r>
      <w:r>
        <w:t xml:space="preserve"> </w:t>
      </w:r>
      <w:r>
        <w:t xml:space="preserve">with cryptographic digests and linked to the relevant execution flows. Operators can explore evidence nodes through an interactive graph; each node reveals provenance metadata, security proofs and links to original research. The module supports timestamped audit trails and integrates with PyraRAG to retrieve related documents and mission logs. It also uses NemoClaw’s privacy router to ensure that sensitive evidence queries are processed locally for maximum confidentiality</w:t>
      </w:r>
      <w:hyperlink r:id="rId22">
        <w:r>
          <w:rPr>
            <w:rStyle w:val="Hyperlink"/>
          </w:rPr>
          <w:t xml:space="preserve">[2]</w:t>
        </w:r>
      </w:hyperlink>
      <w:r>
        <w:t xml:space="preserve">.</w:t>
      </w:r>
    </w:p>
    <w:bookmarkEnd w:id="28"/>
    <w:bookmarkStart w:id="29" w:name="pyraprovenance-audit-history-backbone"/>
    <w:p>
      <w:pPr>
        <w:pStyle w:val="Heading3"/>
      </w:pPr>
      <w:r>
        <w:t xml:space="preserve">5.</w:t>
      </w:r>
      <w:r>
        <w:t xml:space="preserve"> </w:t>
      </w:r>
      <w:r>
        <w:rPr>
          <w:b/>
          <w:bCs/>
        </w:rPr>
        <w:t xml:space="preserve">PyraProvenance – Audit &amp; History Backbone</w:t>
      </w:r>
    </w:p>
    <w:p>
      <w:pPr>
        <w:pStyle w:val="FirstParagraph"/>
      </w:pPr>
      <w:r>
        <w:t xml:space="preserve">This service records every mission, agent state change, topology switch and resource allocation in an immutable ledger. It implements a</w:t>
      </w:r>
      <w:r>
        <w:t xml:space="preserve"> </w:t>
      </w:r>
      <w:r>
        <w:rPr>
          <w:b/>
          <w:bCs/>
        </w:rPr>
        <w:t xml:space="preserve">quad‑dip SHA</w:t>
      </w:r>
      <w:r>
        <w:t xml:space="preserve"> </w:t>
      </w:r>
      <w:r>
        <w:t xml:space="preserve">scheme (SHA‑256, SHA‑512, SHA3‑256, SHA3‑512) and constant‑time operations to prevent side‑channel attacks, inspired by the hardened Dockerfile and security notes. Provenance data can be visualized through timelines, Sankey diagrams or nested film‑reel analogies. The module exposes</w:t>
      </w:r>
      <w:r>
        <w:t xml:space="preserve"> </w:t>
      </w:r>
      <w:r>
        <w:rPr>
          <w:rStyle w:val="VerbatimChar"/>
        </w:rPr>
        <w:t xml:space="preserve">/api/provenance/*</w:t>
      </w:r>
      <w:r>
        <w:t xml:space="preserve"> </w:t>
      </w:r>
      <w:r>
        <w:t xml:space="preserve">endpoints for audit queries and can export signed audit reports for board‑level review.</w:t>
      </w:r>
    </w:p>
    <w:bookmarkEnd w:id="29"/>
    <w:bookmarkStart w:id="30" w:name="X8498df197cf17d6931bb0898becbb2b1102da50"/>
    <w:p>
      <w:pPr>
        <w:pStyle w:val="Heading3"/>
      </w:pPr>
      <w:r>
        <w:t xml:space="preserve">6.</w:t>
      </w:r>
      <w:r>
        <w:t xml:space="preserve"> </w:t>
      </w:r>
      <w:r>
        <w:rPr>
          <w:b/>
          <w:bCs/>
        </w:rPr>
        <w:t xml:space="preserve">PyraDevSecOps – Secure Development &amp; Deployment Suite</w:t>
      </w:r>
    </w:p>
    <w:p>
      <w:pPr>
        <w:pStyle w:val="FirstParagraph"/>
      </w:pPr>
      <w:r>
        <w:t xml:space="preserve">A DevSecOps pipeline and monitoring environment tailored to high‑performance AI workloads. It bundles infrastructure‑as‑code templates (Docker Compose, Helm charts, K8s manifests), automated scanning and policy enforcement, and secure container baselines. Developers can test agent flows in</w:t>
      </w:r>
      <w:r>
        <w:t xml:space="preserve"> </w:t>
      </w:r>
      <w:r>
        <w:rPr>
          <w:rStyle w:val="VerbatimChar"/>
        </w:rPr>
        <w:t xml:space="preserve">.brev</w:t>
      </w:r>
      <w:r>
        <w:t xml:space="preserve"> </w:t>
      </w:r>
      <w:r>
        <w:t xml:space="preserve">and promote them via a controlled pipeline into the production cluster. The suite integrates the Brev MCP server for dynamic GPU management</w:t>
      </w:r>
      <w:hyperlink r:id="rId21">
        <w:r>
          <w:rPr>
            <w:rStyle w:val="Hyperlink"/>
          </w:rPr>
          <w:t xml:space="preserve">[1]</w:t>
        </w:r>
      </w:hyperlink>
      <w:r>
        <w:t xml:space="preserve"> </w:t>
      </w:r>
      <w:r>
        <w:t xml:space="preserve">and NemoClaw for secure agent runtime</w:t>
      </w:r>
      <w:hyperlink r:id="rId22">
        <w:r>
          <w:rPr>
            <w:rStyle w:val="Hyperlink"/>
          </w:rPr>
          <w:t xml:space="preserve">[2]</w:t>
        </w:r>
      </w:hyperlink>
      <w:r>
        <w:t xml:space="preserve">. A</w:t>
      </w:r>
      <w:r>
        <w:t xml:space="preserve"> </w:t>
      </w:r>
      <w:r>
        <w:rPr>
          <w:b/>
          <w:bCs/>
        </w:rPr>
        <w:t xml:space="preserve">Sentinel Matrix</w:t>
      </w:r>
      <w:r>
        <w:t xml:space="preserve"> </w:t>
      </w:r>
      <w:r>
        <w:t xml:space="preserve">visualises compliance metrics and risk scores in real time, offering immediate insights reminiscent of mission control dashboards.</w:t>
      </w:r>
    </w:p>
    <w:bookmarkEnd w:id="30"/>
    <w:bookmarkStart w:id="31" w:name="pyracine-cinematic-story-studio"/>
    <w:p>
      <w:pPr>
        <w:pStyle w:val="Heading3"/>
      </w:pPr>
      <w:r>
        <w:t xml:space="preserve">7.</w:t>
      </w:r>
      <w:r>
        <w:t xml:space="preserve"> </w:t>
      </w:r>
      <w:r>
        <w:rPr>
          <w:b/>
          <w:bCs/>
        </w:rPr>
        <w:t xml:space="preserve">PyraCine – Cinematic Story Studio</w:t>
      </w:r>
    </w:p>
    <w:p>
      <w:pPr>
        <w:pStyle w:val="FirstParagraph"/>
      </w:pPr>
      <w:r>
        <w:t xml:space="preserve">A creative toolset that blends AI‑assisted filmmaking with the pyraClaw stack. PyraCine provides templates for narrative arcs, shot lists, and mood boards inspired by acclaimed directors. It uses generative models to render photorealistic scenes, cosmic vistas and polished user interfaces. The UI aligns with the dark‑obsidian and gold aesthetic, employing dynamic lighting, deep‑space backgrounds and golden timestamp badges from the slides. Users can craft investor presentations or promotional films directly from runtime data—showing a mission timeline as a cinematic montage or turning an evidence audit into a short film. The studio supports exporting sequences to standard video formats and integrates with PyraNFT to mint exclusive film collectibles.</w:t>
      </w:r>
    </w:p>
    <w:bookmarkEnd w:id="31"/>
    <w:bookmarkEnd w:id="32"/>
    <w:bookmarkStart w:id="33" w:name="why-this-lineup-matters"/>
    <w:p>
      <w:pPr>
        <w:pStyle w:val="Heading2"/>
      </w:pPr>
      <w:r>
        <w:t xml:space="preserve">Why this lineup matters</w:t>
      </w:r>
    </w:p>
    <w:p>
      <w:pPr>
        <w:pStyle w:val="Compact"/>
        <w:numPr>
          <w:ilvl w:val="0"/>
          <w:numId w:val="1002"/>
        </w:numPr>
      </w:pPr>
      <w:r>
        <w:rPr>
          <w:b/>
          <w:bCs/>
        </w:rPr>
        <w:t xml:space="preserve">Unified narrative and design</w:t>
      </w:r>
      <w:r>
        <w:t xml:space="preserve"> </w:t>
      </w:r>
      <w:r>
        <w:t xml:space="preserve">– All seven products follow the same visual language: precision grids, dark‑space palettes and refined gold accents. This coherence stems from the design guidance in the slide deck and ensures a premium, cinematic experience across the ecosystem.</w:t>
      </w:r>
    </w:p>
    <w:p>
      <w:pPr>
        <w:pStyle w:val="Compact"/>
        <w:numPr>
          <w:ilvl w:val="0"/>
          <w:numId w:val="1002"/>
        </w:numPr>
      </w:pPr>
      <w:r>
        <w:rPr>
          <w:b/>
          <w:bCs/>
        </w:rPr>
        <w:t xml:space="preserve">Layered architecture</w:t>
      </w:r>
      <w:r>
        <w:t xml:space="preserve"> </w:t>
      </w:r>
      <w:r>
        <w:t xml:space="preserve">– The lineup reflects the recommended hierarchy: an executive command layer (PyraCommand), runtime and storage layers (PyraContainer), evidence and provenance layers (PyraEvidence/Provenance), a development layer (PyraDevSecOps), and an expressive output layer (PyraNFT/PyraCine). This structure matches the “iAiA decides, pyraClaw executes, RAG grounds,</w:t>
      </w:r>
      <w:r>
        <w:t xml:space="preserve"> </w:t>
      </w:r>
      <w:r>
        <w:rPr>
          <w:rStyle w:val="VerbatimChar"/>
        </w:rPr>
        <w:t xml:space="preserve">.brev</w:t>
      </w:r>
      <w:r>
        <w:t xml:space="preserve"> </w:t>
      </w:r>
      <w:r>
        <w:t xml:space="preserve">accelerates” model.</w:t>
      </w:r>
    </w:p>
    <w:p>
      <w:pPr>
        <w:pStyle w:val="Compact"/>
        <w:numPr>
          <w:ilvl w:val="0"/>
          <w:numId w:val="1002"/>
        </w:numPr>
      </w:pPr>
      <w:r>
        <w:rPr>
          <w:b/>
          <w:bCs/>
        </w:rPr>
        <w:t xml:space="preserve">Security &amp; compliance</w:t>
      </w:r>
      <w:r>
        <w:t xml:space="preserve"> </w:t>
      </w:r>
      <w:r>
        <w:t xml:space="preserve">– By incorporating hardened Docker builds, non‑root execution, post‑quantum signatures and privacy‑first agent runtimes</w:t>
      </w:r>
      <w:hyperlink r:id="rId22">
        <w:r>
          <w:rPr>
            <w:rStyle w:val="Hyperlink"/>
          </w:rPr>
          <w:t xml:space="preserve">[2]</w:t>
        </w:r>
      </w:hyperlink>
      <w:r>
        <w:t xml:space="preserve">, the product line positions itself as trustworthy in boardroom settings. It avoids over‑reaching claims and focuses on verifiable, evidence‑driven processes.</w:t>
      </w:r>
    </w:p>
    <w:p>
      <w:pPr>
        <w:pStyle w:val="Compact"/>
        <w:numPr>
          <w:ilvl w:val="0"/>
          <w:numId w:val="1002"/>
        </w:numPr>
      </w:pPr>
      <w:r>
        <w:rPr>
          <w:b/>
          <w:bCs/>
        </w:rPr>
        <w:t xml:space="preserve">Innovation and storytelling</w:t>
      </w:r>
      <w:r>
        <w:t xml:space="preserve"> </w:t>
      </w:r>
      <w:r>
        <w:t xml:space="preserve">– The combination of agentic orchestration, secure compute, NFT minting and cinematic storytelling creates a differentiated offering. It leverages Brev’s conversational interface to reduce operational friction</w:t>
      </w:r>
      <w:hyperlink r:id="rId21">
        <w:r>
          <w:rPr>
            <w:rStyle w:val="Hyperlink"/>
          </w:rPr>
          <w:t xml:space="preserve">[1]</w:t>
        </w:r>
      </w:hyperlink>
      <w:r>
        <w:t xml:space="preserve"> </w:t>
      </w:r>
      <w:r>
        <w:t xml:space="preserve">and NemoClaw’s security to protect data</w:t>
      </w:r>
      <w:hyperlink r:id="rId22">
        <w:r>
          <w:rPr>
            <w:rStyle w:val="Hyperlink"/>
          </w:rPr>
          <w:t xml:space="preserve">[2]</w:t>
        </w:r>
      </w:hyperlink>
      <w:r>
        <w:t xml:space="preserve">, while giving investors an immersive, narrative‑driven experience.</w:t>
      </w:r>
    </w:p>
    <w:bookmarkEnd w:id="33"/>
    <w:bookmarkStart w:id="34" w:name="implementation-considerations"/>
    <w:p>
      <w:pPr>
        <w:pStyle w:val="Heading2"/>
      </w:pPr>
      <w:r>
        <w:t xml:space="preserve">Implementation considerations</w:t>
      </w:r>
    </w:p>
    <w:p>
      <w:pPr>
        <w:pStyle w:val="Compact"/>
        <w:numPr>
          <w:ilvl w:val="0"/>
          <w:numId w:val="1003"/>
        </w:numPr>
      </w:pPr>
      <w:r>
        <w:rPr>
          <w:b/>
          <w:bCs/>
        </w:rPr>
        <w:t xml:space="preserve">Hardware baseline</w:t>
      </w:r>
      <w:r>
        <w:t xml:space="preserve"> </w:t>
      </w:r>
      <w:r>
        <w:t xml:space="preserve">– Deploy on modern GPU clusters (A100, B100, GeForce RTX, Blackwell) with high‑end CPUs, large memory and at least 54 TB storage to support continuous 10 TB vaults, local model execution and cinematic rendering.</w:t>
      </w:r>
    </w:p>
    <w:p>
      <w:pPr>
        <w:pStyle w:val="Compact"/>
        <w:numPr>
          <w:ilvl w:val="0"/>
          <w:numId w:val="1003"/>
        </w:numPr>
      </w:pPr>
      <w:r>
        <w:rPr>
          <w:b/>
          <w:bCs/>
        </w:rPr>
        <w:t xml:space="preserve">.brev integration</w:t>
      </w:r>
      <w:r>
        <w:t xml:space="preserve"> </w:t>
      </w:r>
      <w:r>
        <w:t xml:space="preserve">– Use</w:t>
      </w:r>
      <w:r>
        <w:t xml:space="preserve"> </w:t>
      </w:r>
      <w:r>
        <w:rPr>
          <w:rStyle w:val="VerbatimChar"/>
        </w:rPr>
        <w:t xml:space="preserve">.brev</w:t>
      </w:r>
      <w:r>
        <w:t xml:space="preserve"> </w:t>
      </w:r>
      <w:r>
        <w:t xml:space="preserve">as the rapid‑iteration environment where new orchestration flows, connectors or cinematic experiments are tested. Once validated, promote them into PyraCommand/Container/DevSecOps via CI/CD pipelines.</w:t>
      </w:r>
    </w:p>
    <w:p>
      <w:pPr>
        <w:pStyle w:val="Compact"/>
        <w:numPr>
          <w:ilvl w:val="0"/>
          <w:numId w:val="1003"/>
        </w:numPr>
      </w:pPr>
      <w:r>
        <w:rPr>
          <w:b/>
          <w:bCs/>
        </w:rPr>
        <w:t xml:space="preserve">Open‑source compliance</w:t>
      </w:r>
      <w:r>
        <w:t xml:space="preserve"> </w:t>
      </w:r>
      <w:r>
        <w:t xml:space="preserve">– Wrap the modern NVIDIA container runtime (</w:t>
      </w:r>
      <w:r>
        <w:rPr>
          <w:rStyle w:val="VerbatimChar"/>
        </w:rPr>
        <w:t xml:space="preserve">nvidia-container-toolkit</w:t>
      </w:r>
      <w:r>
        <w:t xml:space="preserve">) with PyraClaw‑specific security layers rather than relying on deprecated wrappers. Use the NemoClaw stack as reference for installing OpenShell and Agent Toolkit guardrails.</w:t>
      </w:r>
    </w:p>
    <w:p>
      <w:pPr>
        <w:pStyle w:val="Compact"/>
        <w:numPr>
          <w:ilvl w:val="0"/>
          <w:numId w:val="1003"/>
        </w:numPr>
      </w:pPr>
      <w:r>
        <w:rPr>
          <w:b/>
          <w:bCs/>
        </w:rPr>
        <w:t xml:space="preserve">Evidence &amp; RAG ingestion</w:t>
      </w:r>
      <w:r>
        <w:t xml:space="preserve"> </w:t>
      </w:r>
      <w:r>
        <w:t xml:space="preserve">– Index all attached repositories, documentation and films into an agentic RAG corpus to provide memory and context for decision‑making. Link every action in the system back to a citation, DOI or evidence record.</w:t>
      </w:r>
    </w:p>
    <w:p>
      <w:pPr>
        <w:pStyle w:val="FirstParagraph"/>
      </w:pPr>
      <w:r>
        <w:t xml:space="preserve">This seven‑product plan turns pyraClaw from a runtime pack into a</w:t>
      </w:r>
      <w:r>
        <w:t xml:space="preserve"> </w:t>
      </w:r>
      <w:r>
        <w:rPr>
          <w:b/>
          <w:bCs/>
        </w:rPr>
        <w:t xml:space="preserve">full sovereign execution environment</w:t>
      </w:r>
      <w:r>
        <w:t xml:space="preserve"> </w:t>
      </w:r>
      <w:r>
        <w:t xml:space="preserve">with a premium aesthetic and story‑driven interface. Each module complements the others, creating a cohesive platform where</w:t>
      </w:r>
      <w:r>
        <w:t xml:space="preserve"> </w:t>
      </w:r>
      <w:r>
        <w:rPr>
          <w:b/>
          <w:bCs/>
        </w:rPr>
        <w:t xml:space="preserve">orchestration, evidence, storage, security, development and storytelling</w:t>
      </w:r>
      <w:r>
        <w:t xml:space="preserve"> </w:t>
      </w:r>
      <w:r>
        <w:t xml:space="preserve">converge.</w:t>
      </w:r>
    </w:p>
    <w:bookmarkEnd w:id="34"/>
    <w:bookmarkEnd w:id="35"/>
    <w:bookmarkEnd w:id="36"/>
    <w:p>
      <w:r>
        <w:pict>
          <v:rect style="width:0;height:1.5pt" o:hralign="center" o:hrstd="t" o:hr="t"/>
        </w:pict>
      </w:r>
    </w:p>
    <w:bookmarkStart w:id="39" w:name="citations"/>
    <w:p>
      <w:pPr>
        <w:pStyle w:val="FirstParagraph"/>
      </w:pPr>
      <w:hyperlink r:id="rId21">
        <w:r>
          <w:rPr>
            <w:rStyle w:val="Hyperlink"/>
          </w:rPr>
          <w:t xml:space="preserve">[1]</w:t>
        </w:r>
      </w:hyperlink>
      <w:r>
        <w:t xml:space="preserve"> </w:t>
      </w:r>
      <w:r>
        <w:t xml:space="preserve">Unlocking GPU Workflows: A Deep Dive into the Official Nvidia Brev MCP Server</w:t>
      </w:r>
    </w:p>
    <w:p>
      <w:pPr>
        <w:pStyle w:val="BodyText"/>
      </w:pPr>
      <w:hyperlink r:id="rId37">
        <w:r>
          <w:rPr>
            <w:rStyle w:val="Hyperlink"/>
          </w:rPr>
          <w:t xml:space="preserve">https://skywork.ai/skypage/en/gpu-workflows-nvidia-brev-mcp/1979064355922419712</w:t>
        </w:r>
      </w:hyperlink>
    </w:p>
    <w:p>
      <w:pPr>
        <w:pStyle w:val="BodyText"/>
      </w:pPr>
      <w:hyperlink r:id="rId22">
        <w:r>
          <w:rPr>
            <w:rStyle w:val="Hyperlink"/>
          </w:rPr>
          <w:t xml:space="preserve">[2]</w:t>
        </w:r>
      </w:hyperlink>
      <w:r>
        <w:t xml:space="preserve"> </w:t>
      </w:r>
      <w:hyperlink r:id="rId25">
        <w:r>
          <w:rPr>
            <w:rStyle w:val="Hyperlink"/>
          </w:rPr>
          <w:t xml:space="preserve">[3]</w:t>
        </w:r>
      </w:hyperlink>
      <w:r>
        <w:t xml:space="preserve"> </w:t>
      </w:r>
      <w:r>
        <w:t xml:space="preserve">Safer AI Agents &amp; Assistants with OpenClaw | NVIDIA NemoClaw</w:t>
      </w:r>
    </w:p>
    <w:p>
      <w:pPr>
        <w:pStyle w:val="BodyText"/>
      </w:pPr>
      <w:hyperlink r:id="rId38">
        <w:r>
          <w:rPr>
            <w:rStyle w:val="Hyperlink"/>
          </w:rPr>
          <w:t xml:space="preserve">https://www.nvidia.com/en-us/ai/nemoclaw/</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skywork.ai/skypage/en/gpu-workflows-nvidia-brev-mcp/1979064355922419712" TargetMode="External" /><Relationship Type="http://schemas.openxmlformats.org/officeDocument/2006/relationships/hyperlink" Id="rId21" Target="https://skywork.ai/skypage/en/gpu-workflows-nvidia-brev-mcp/1979064355922419712#:~:text=What%20is%20the%20Official%20Nvidia,complex%20GPU%20infrastructure%20like%20this" TargetMode="External" /><Relationship Type="http://schemas.openxmlformats.org/officeDocument/2006/relationships/hyperlink" Id="rId38" Target="https://www.nvidia.com/en-us/ai/nemoclaw/" TargetMode="External" /><Relationship Type="http://schemas.openxmlformats.org/officeDocument/2006/relationships/hyperlink" Id="rId25" Target="https://www.nvidia.com/en-us/ai/nemoclaw/#:~:text=It%20also%20evaluates%20available%20compute,enhanced%20privacy%20and%20cost%20efficiency" TargetMode="External" /><Relationship Type="http://schemas.openxmlformats.org/officeDocument/2006/relationships/hyperlink" Id="rId22" Target="https://www.nvidia.com/en-us/ai/nemoclaw/#:~:text=Run%20Autonomous%20Agents%20More%20Safely" TargetMode="External" /></Relationships>
</file>

<file path=word/_rels/footnotes.xml.rels><?xml version="1.0" encoding="UTF-8"?><Relationships xmlns="http://schemas.openxmlformats.org/package/2006/relationships"><Relationship Type="http://schemas.openxmlformats.org/officeDocument/2006/relationships/hyperlink" Id="rId37" Target="https://skywork.ai/skypage/en/gpu-workflows-nvidia-brev-mcp/1979064355922419712" TargetMode="External" /><Relationship Type="http://schemas.openxmlformats.org/officeDocument/2006/relationships/hyperlink" Id="rId21" Target="https://skywork.ai/skypage/en/gpu-workflows-nvidia-brev-mcp/1979064355922419712#:~:text=What%20is%20the%20Official%20Nvidia,complex%20GPU%20infrastructure%20like%20this" TargetMode="External" /><Relationship Type="http://schemas.openxmlformats.org/officeDocument/2006/relationships/hyperlink" Id="rId38" Target="https://www.nvidia.com/en-us/ai/nemoclaw/" TargetMode="External" /><Relationship Type="http://schemas.openxmlformats.org/officeDocument/2006/relationships/hyperlink" Id="rId25" Target="https://www.nvidia.com/en-us/ai/nemoclaw/#:~:text=It%20also%20evaluates%20available%20compute,enhanced%20privacy%20and%20cost%20efficiency" TargetMode="External" /><Relationship Type="http://schemas.openxmlformats.org/officeDocument/2006/relationships/hyperlink" Id="rId22" Target="https://www.nvidia.com/en-us/ai/nemoclaw/#:~:text=Run%20Autonomous%20Agents%20More%20Saf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2026-04-03T13:00:30Z</dcterms:created>
  <dcterms:modified xsi:type="dcterms:W3CDTF">2026-04-03T13:00:30Z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