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3864"/>
          <w:sz w:val="48"/>
          <w:szCs w:val="48"/>
        </w:rPr>
        <w:t xml:space="preserve">IRONSCOUT</w:t>
      </w:r>
    </w:p>
    <w:p>
      <w:pPr>
        <w:spacing w:before="0" w:after="60"/>
      </w:pPr>
      <w:r>
        <w:rPr>
          <w:rFonts w:ascii="Arial" w:cs="Arial" w:eastAsia="Arial" w:hAnsi="Arial"/>
          <w:i/>
          <w:iCs/>
          <w:color w:val="2E5090"/>
          <w:sz w:val="26"/>
          <w:szCs w:val="26"/>
        </w:rPr>
        <w:t xml:space="preserve">Competitive Intelligence Brief Generator</w:t>
      </w:r>
    </w:p>
    <w:p>
      <w:pPr>
        <w:pBdr>
          <w:bottom w:val="single" w:color="1F3864" w:sz="8" w:space="1"/>
        </w:pBdr>
        <w:spacing w:before="0" w:after="80"/>
      </w:pPr>
      <w:r>
        <w:rPr>
          <w:rFonts w:ascii="Arial" w:cs="Arial" w:eastAsia="Arial" w:hAnsi="Arial"/>
          <w:b/>
          <w:bCs/>
          <w:color w:val="555555"/>
          <w:sz w:val="22"/>
          <w:szCs w:val="22"/>
        </w:rPr>
        <w:t xml:space="preserve">Step 2: Design Before You Build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Tool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IRONSCOUT</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Team Members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Byron Enrico &amp; Jake Slagle</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Option Chosen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 C — Competitive Intelligence Brief Generator</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20"/>
                <w:szCs w:val="20"/>
              </w:rPr>
              <w:t xml:space="preserve">Course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BUS 670 — Strategic AI for Modern Business, Spring 2026</w:t>
            </w:r>
          </w:p>
        </w:tc>
      </w:tr>
    </w:tbl>
    <w:p>
      <w:pPr>
        <w:spacing w:before="40" w:after="40"/>
      </w:pPr>
      <w:r>
        <w:t xml:space="preserve"/>
      </w:r>
    </w:p>
    <w:p>
      <w:pPr>
        <w:pBdr>
          <w:bottom w:val="single" w:color="1F3864" w:sz="6" w:space="1"/>
        </w:pBdr>
        <w:spacing w:before="320" w:after="120"/>
      </w:pPr>
      <w:r>
        <w:rPr>
          <w:rFonts w:ascii="Arial" w:cs="Arial" w:eastAsia="Arial" w:hAnsi="Arial"/>
          <w:b/>
          <w:bCs/>
          <w:color w:val="1F3864"/>
          <w:sz w:val="28"/>
          <w:szCs w:val="28"/>
        </w:rPr>
        <w:t xml:space="preserve">1. User Definition</w:t>
      </w:r>
    </w:p>
    <w:p>
      <w:pPr>
        <w:spacing w:before="220" w:after="80"/>
      </w:pPr>
      <w:r>
        <w:rPr>
          <w:rFonts w:ascii="Arial" w:cs="Arial" w:eastAsia="Arial" w:hAnsi="Arial"/>
          <w:b/>
          <w:bCs/>
          <w:color w:val="2E5090"/>
          <w:sz w:val="23"/>
          <w:szCs w:val="23"/>
          <w:u w:val="single"/>
        </w:rPr>
        <w:t xml:space="preserve">Who specifically uses this tool?</w:t>
      </w:r>
    </w:p>
    <w:p>
      <w:pPr>
        <w:spacing w:before="60" w:after="60"/>
      </w:pPr>
      <w:r>
        <w:rPr>
          <w:rFonts w:ascii="Arial" w:cs="Arial" w:eastAsia="Arial" w:hAnsi="Arial"/>
          <w:color w:val="333333"/>
          <w:sz w:val="22"/>
          <w:szCs w:val="22"/>
        </w:rPr>
        <w:t xml:space="preserve">A field sales representative at a small-to-mid-size industrial manufacturing company. This person is typically non-technical, works largely outside of an office, and needs competitive information fast — often in the minutes before walking into a customer meeting. Company size ranges from 50 to 500 employees, where there is rarely a dedicated competitive intelligence analyst on staff.</w:t>
      </w:r>
    </w:p>
    <w:p>
      <w:pPr>
        <w:spacing w:before="220" w:after="80"/>
      </w:pPr>
      <w:r>
        <w:rPr>
          <w:rFonts w:ascii="Arial" w:cs="Arial" w:eastAsia="Arial" w:hAnsi="Arial"/>
          <w:b/>
          <w:bCs/>
          <w:color w:val="2E5090"/>
          <w:sz w:val="23"/>
          <w:szCs w:val="23"/>
          <w:u w:val="single"/>
        </w:rPr>
        <w:t xml:space="preserve">What are they doing right now without this tool?</w:t>
      </w:r>
    </w:p>
    <w:p>
      <w:pPr>
        <w:spacing w:before="60" w:after="60"/>
      </w:pPr>
      <w:r>
        <w:rPr>
          <w:rFonts w:ascii="Arial" w:cs="Arial" w:eastAsia="Arial" w:hAnsi="Arial"/>
          <w:color w:val="333333"/>
          <w:sz w:val="22"/>
          <w:szCs w:val="22"/>
        </w:rPr>
        <w:t xml:space="preserve">Sales managers or distributor reps conduct high-level research that is time-consuming and more detailed than a field rep will realistically read. At smaller companies, there may be no one doing this research at all — reps go into meetings with whatever they already know. When research does exist, it lives in a slide deck or email that is hard to access in the field.</w:t>
      </w:r>
    </w:p>
    <w:p>
      <w:pPr>
        <w:spacing w:before="220" w:after="80"/>
      </w:pPr>
      <w:r>
        <w:rPr>
          <w:rFonts w:ascii="Arial" w:cs="Arial" w:eastAsia="Arial" w:hAnsi="Arial"/>
          <w:b/>
          <w:bCs/>
          <w:color w:val="2E5090"/>
          <w:sz w:val="23"/>
          <w:szCs w:val="23"/>
          <w:u w:val="single"/>
        </w:rPr>
        <w:t xml:space="preserve">What pain does that cause them?</w:t>
      </w:r>
    </w:p>
    <w:p>
      <w:pPr>
        <w:spacing w:before="60" w:after="60"/>
      </w:pPr>
      <w:r>
        <w:rPr>
          <w:rFonts w:ascii="Arial" w:cs="Arial" w:eastAsia="Arial" w:hAnsi="Arial"/>
          <w:color w:val="333333"/>
          <w:sz w:val="22"/>
          <w:szCs w:val="22"/>
        </w:rPr>
        <w:t xml:space="preserve">Reps enter competitor conversations underprepared. They may be caught off-guard by a prospect who mentions a competitor's recent product launch or pricing change. Lost deals and missed objection-handling opportunities are the direct cost. The underlying problem is that useful competitive intelligence takes more time to produce than a field rep has between calls.</w:t>
      </w:r>
    </w:p>
    <w:p>
      <w:pPr>
        <w:spacing w:before="40" w:after="40"/>
      </w:pPr>
      <w:r>
        <w:t xml:space="preserve"/>
      </w:r>
    </w:p>
    <w:p>
      <w:pPr>
        <w:pBdr>
          <w:bottom w:val="single" w:color="1F3864" w:sz="6" w:space="1"/>
        </w:pBdr>
        <w:spacing w:before="320" w:after="120"/>
      </w:pPr>
      <w:r>
        <w:rPr>
          <w:rFonts w:ascii="Arial" w:cs="Arial" w:eastAsia="Arial" w:hAnsi="Arial"/>
          <w:b/>
          <w:bCs/>
          <w:color w:val="1F3864"/>
          <w:sz w:val="28"/>
          <w:szCs w:val="28"/>
        </w:rPr>
        <w:t xml:space="preserve">2. Success Definition</w:t>
      </w:r>
    </w:p>
    <w:p>
      <w:pPr>
        <w:spacing w:before="220" w:after="80"/>
      </w:pPr>
      <w:r>
        <w:rPr>
          <w:rFonts w:ascii="Arial" w:cs="Arial" w:eastAsia="Arial" w:hAnsi="Arial"/>
          <w:b/>
          <w:bCs/>
          <w:color w:val="2E5090"/>
          <w:sz w:val="23"/>
          <w:szCs w:val="23"/>
          <w:u w:val="single"/>
        </w:rPr>
        <w:t xml:space="preserve">What does "good output" look like for this tool?</w:t>
      </w:r>
    </w:p>
    <w:p>
      <w:pPr>
        <w:spacing w:before="60" w:after="60"/>
      </w:pPr>
      <w:r>
        <w:rPr>
          <w:rFonts w:ascii="Arial" w:cs="Arial" w:eastAsia="Arial" w:hAnsi="Arial"/>
          <w:color w:val="333333"/>
          <w:sz w:val="22"/>
          <w:szCs w:val="22"/>
        </w:rPr>
        <w:t xml:space="preserve">A good output is simple, clear, concise, and scannable in under two minutes. It fits on one screen without scrolling. It contains only information a rep can actually use in a conversation — not financial analysis, not industry history. Every claim in the output is traceable to something in the pasted input text.</w:t>
      </w:r>
    </w:p>
    <w:p>
      <w:pPr>
        <w:spacing w:before="220" w:after="80"/>
      </w:pPr>
      <w:r>
        <w:rPr>
          <w:rFonts w:ascii="Arial" w:cs="Arial" w:eastAsia="Arial" w:hAnsi="Arial"/>
          <w:b/>
          <w:bCs/>
          <w:color w:val="2E5090"/>
          <w:sz w:val="23"/>
          <w:szCs w:val="23"/>
          <w:u w:val="single"/>
        </w:rPr>
        <w:t xml:space="preserve">Example of a perfect output:</w:t>
      </w:r>
    </w:p>
    <w:p>
      <w:pPr>
        <w:spacing w:before="40" w:after="40"/>
      </w:pPr>
      <w:r>
        <w:t xml:space="preserve"/>
      </w:r>
    </w:p>
    <w:p>
      <w:pPr>
        <w:spacing w:before="60" w:after="40"/>
        <w:ind w:left="360"/>
      </w:pPr>
      <w:r>
        <w:rPr>
          <w:rFonts w:ascii="Arial" w:cs="Arial" w:eastAsia="Arial" w:hAnsi="Arial"/>
          <w:b/>
          <w:bCs/>
          <w:color w:val="1F3864"/>
          <w:sz w:val="21"/>
          <w:szCs w:val="21"/>
        </w:rPr>
        <w:t xml:space="preserve">IRONSCOUT Brief — Acme Industrial Solutions</w:t>
      </w:r>
    </w:p>
    <w:p>
      <w:pPr>
        <w:spacing w:before="40" w:after="40"/>
        <w:ind w:left="360"/>
      </w:pPr>
      <w:r>
        <w:rPr>
          <w:rFonts w:ascii="Arial" w:cs="Arial" w:eastAsia="Arial" w:hAnsi="Arial"/>
          <w:b/>
          <w:bCs/>
          <w:color w:val="2E5090"/>
          <w:sz w:val="20"/>
          <w:szCs w:val="20"/>
        </w:rPr>
        <w:t xml:space="preserve">Company Positioning:  </w:t>
      </w:r>
      <w:r>
        <w:rPr>
          <w:rFonts w:ascii="Arial" w:cs="Arial" w:eastAsia="Arial" w:hAnsi="Arial"/>
          <w:color w:val="333333"/>
          <w:sz w:val="20"/>
          <w:szCs w:val="20"/>
        </w:rPr>
        <w:t xml:space="preserve">Acme positions itself as a low-cost, high-volume supplier for mid-market OEMs in the Midwest. Their messaging emphasizes speed of delivery over technical depth.</w:t>
      </w:r>
    </w:p>
    <w:p>
      <w:pPr>
        <w:spacing w:before="40" w:after="40"/>
        <w:ind w:left="360"/>
      </w:pPr>
      <w:r>
        <w:rPr>
          <w:rFonts w:ascii="Arial" w:cs="Arial" w:eastAsia="Arial" w:hAnsi="Arial"/>
          <w:b/>
          <w:bCs/>
          <w:color w:val="2E5090"/>
          <w:sz w:val="20"/>
          <w:szCs w:val="20"/>
        </w:rPr>
        <w:t xml:space="preserve">Apparent Strengths:  </w:t>
      </w:r>
      <w:r>
        <w:rPr>
          <w:rFonts w:ascii="Arial" w:cs="Arial" w:eastAsia="Arial" w:hAnsi="Arial"/>
          <w:color w:val="333333"/>
          <w:sz w:val="20"/>
          <w:szCs w:val="20"/>
        </w:rPr>
        <w:t xml:space="preserve">Regional distribution network, fast lead times, established relationships with Tier 2 auto suppliers.</w:t>
      </w:r>
    </w:p>
    <w:p>
      <w:pPr>
        <w:spacing w:before="40" w:after="40"/>
        <w:ind w:left="360"/>
      </w:pPr>
      <w:r>
        <w:rPr>
          <w:rFonts w:ascii="Arial" w:cs="Arial" w:eastAsia="Arial" w:hAnsi="Arial"/>
          <w:b/>
          <w:bCs/>
          <w:color w:val="2E5090"/>
          <w:sz w:val="20"/>
          <w:szCs w:val="20"/>
        </w:rPr>
        <w:t xml:space="preserve">Apparent Weaknesses:  </w:t>
      </w:r>
      <w:r>
        <w:rPr>
          <w:rFonts w:ascii="Arial" w:cs="Arial" w:eastAsia="Arial" w:hAnsi="Arial"/>
          <w:color w:val="333333"/>
          <w:sz w:val="20"/>
          <w:szCs w:val="20"/>
        </w:rPr>
        <w:t xml:space="preserve">No mention of engineering support or custom fabrication. Website copy is generic — no case studies, no named customers.</w:t>
      </w:r>
    </w:p>
    <w:p>
      <w:pPr>
        <w:spacing w:before="40" w:after="40"/>
        <w:ind w:left="360"/>
      </w:pPr>
      <w:r>
        <w:rPr>
          <w:rFonts w:ascii="Arial" w:cs="Arial" w:eastAsia="Arial" w:hAnsi="Arial"/>
          <w:b/>
          <w:bCs/>
          <w:color w:val="2E5090"/>
          <w:sz w:val="20"/>
          <w:szCs w:val="20"/>
        </w:rPr>
        <w:t xml:space="preserve">Strategic Implications:  </w:t>
      </w:r>
      <w:r>
        <w:rPr>
          <w:rFonts w:ascii="Arial" w:cs="Arial" w:eastAsia="Arial" w:hAnsi="Arial"/>
          <w:color w:val="333333"/>
          <w:sz w:val="20"/>
          <w:szCs w:val="20"/>
        </w:rPr>
        <w:t xml:space="preserve">1. Lead with your engineering team as a differentiator.  2. Ask prospects if Acme has offered custom specs — they likely haven't.  3. Target accounts that have outgrown standard off-the-shelf supply.</w:t>
      </w:r>
    </w:p>
    <w:p>
      <w:pPr>
        <w:spacing w:before="40" w:after="40"/>
      </w:pPr>
      <w:r>
        <w:t xml:space="preserve"/>
      </w:r>
    </w:p>
    <w:p>
      <w:pPr>
        <w:spacing w:before="220" w:after="80"/>
      </w:pPr>
      <w:r>
        <w:rPr>
          <w:rFonts w:ascii="Arial" w:cs="Arial" w:eastAsia="Arial" w:hAnsi="Arial"/>
          <w:b/>
          <w:bCs/>
          <w:color w:val="2E5090"/>
          <w:sz w:val="23"/>
          <w:szCs w:val="23"/>
          <w:u w:val="single"/>
        </w:rPr>
        <w:t xml:space="preserve">Example of a bad output to avoid:</w:t>
      </w:r>
    </w:p>
    <w:p>
      <w:pPr>
        <w:spacing w:before="60" w:after="60"/>
      </w:pPr>
      <w:r>
        <w:rPr>
          <w:rFonts w:ascii="Arial" w:cs="Arial" w:eastAsia="Arial" w:hAnsi="Arial"/>
          <w:color w:val="333333"/>
          <w:sz w:val="22"/>
          <w:szCs w:val="22"/>
        </w:rPr>
        <w:t xml:space="preserve">A multi-page report filled with financial projections, industry trends, and generic SWOT language that took 10 minutes to read and contained no insight the rep couldn't have guessed. Outputs that use vague language like "the company appears to be growing" without grounding it in anything from the input text are equally unhelpful. An output that requires a desk, a coffee, and 15 minutes of reading time has failed the field rep.</w:t>
      </w:r>
    </w:p>
    <w:p>
      <w:pPr>
        <w:spacing w:before="40" w:after="40"/>
      </w:pPr>
      <w:r>
        <w:t xml:space="preserve"/>
      </w:r>
    </w:p>
    <w:p>
      <w:pPr>
        <w:pBdr>
          <w:bottom w:val="single" w:color="1F3864" w:sz="6" w:space="1"/>
        </w:pBdr>
        <w:spacing w:before="320" w:after="120"/>
      </w:pPr>
      <w:r>
        <w:rPr>
          <w:rFonts w:ascii="Arial" w:cs="Arial" w:eastAsia="Arial" w:hAnsi="Arial"/>
          <w:b/>
          <w:bCs/>
          <w:color w:val="1F3864"/>
          <w:sz w:val="28"/>
          <w:szCs w:val="28"/>
        </w:rPr>
        <w:t xml:space="preserve">3. Input / Output Specification</w:t>
      </w:r>
    </w:p>
    <w:p>
      <w:pPr>
        <w:spacing w:before="220" w:after="80"/>
      </w:pPr>
      <w:r>
        <w:rPr>
          <w:rFonts w:ascii="Arial" w:cs="Arial" w:eastAsia="Arial" w:hAnsi="Arial"/>
          <w:b/>
          <w:bCs/>
          <w:color w:val="2E5090"/>
          <w:sz w:val="23"/>
          <w:szCs w:val="23"/>
          <w:u w:val="single"/>
        </w:rPr>
        <w:t xml:space="preserve">What exactly does the user paste or type in?</w:t>
      </w:r>
    </w:p>
    <w:p>
      <w:pPr>
        <w:spacing w:before="60" w:after="60"/>
      </w:pPr>
      <w:r>
        <w:rPr>
          <w:rFonts w:ascii="Arial" w:cs="Arial" w:eastAsia="Arial" w:hAnsi="Arial"/>
          <w:color w:val="333333"/>
          <w:sz w:val="22"/>
          <w:szCs w:val="22"/>
        </w:rPr>
        <w:t xml:space="preserve">The user pastes free-form text directly into the input field — no file uploads, no URLs, no structured forms. The following input types are accepted, listed in order of reliability: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Format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Reliability &amp; 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Competitor website copy (About, Products pages)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 rich positioning signal when multiple pages are combined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Press release text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High — usually structured with clear claims; ideal input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News article or trade publication excerpt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may carry editorial bias; tool should note source type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LinkedIn company About section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Medium — short; best used as supplemental input alongside other 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Earnings call transcript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 dense with strategic signal; best for publicly traded competitors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Single sentence or company name only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Insufficient — tool should reject and prompt the user for more content</w:t>
            </w:r>
          </w:p>
        </w:tc>
      </w:tr>
    </w:tbl>
    <w:p>
      <w:pPr>
        <w:spacing w:before="40" w:after="40"/>
      </w:pPr>
      <w:r>
        <w:t xml:space="preserve"/>
      </w:r>
    </w:p>
    <w:p>
      <w:pPr>
        <w:spacing w:before="60" w:after="60"/>
      </w:pPr>
      <w:r>
        <w:rPr>
          <w:rFonts w:ascii="Arial" w:cs="Arial" w:eastAsia="Arial" w:hAnsi="Arial"/>
          <w:color w:val="333333"/>
          <w:sz w:val="22"/>
          <w:szCs w:val="22"/>
        </w:rPr>
        <w:t xml:space="preserve">Minimum viable input is approximately 100 words of substantive content. If the input falls below this threshold, the tool responds with a prompt asking for more information rather than generating a low-confidence brief.</w:t>
      </w:r>
    </w:p>
    <w:p>
      <w:pPr>
        <w:spacing w:before="220" w:after="80"/>
      </w:pPr>
      <w:r>
        <w:rPr>
          <w:rFonts w:ascii="Arial" w:cs="Arial" w:eastAsia="Arial" w:hAnsi="Arial"/>
          <w:b/>
          <w:bCs/>
          <w:color w:val="2E5090"/>
          <w:sz w:val="23"/>
          <w:szCs w:val="23"/>
          <w:u w:val="single"/>
        </w:rPr>
        <w:t xml:space="preserve">What exactly does the tool return?</w:t>
      </w:r>
    </w:p>
    <w:p>
      <w:pPr>
        <w:spacing w:before="60" w:after="60"/>
      </w:pPr>
      <w:r>
        <w:rPr>
          <w:rFonts w:ascii="Arial" w:cs="Arial" w:eastAsia="Arial" w:hAnsi="Arial"/>
          <w:color w:val="333333"/>
          <w:sz w:val="22"/>
          <w:szCs w:val="22"/>
        </w:rPr>
        <w:t xml:space="preserve">Every brief follows this fixed five-section structure: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 Section</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Company Positioning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the competitor describes itself — market focus, value prop, tone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 sentences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3864"/>
                <w:sz w:val="20"/>
                <w:szCs w:val="20"/>
              </w:rPr>
              <w:t xml:space="preserve">Apparent Strengths</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 evidence-based strengths drawn from the input text</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Bulleted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Apparent Weaknesses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 gaps, omissions, or vulnerabilities evident in the text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Bulleted list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3864"/>
                <w:sz w:val="20"/>
                <w:szCs w:val="20"/>
              </w:rPr>
              <w:t xml:space="preserve">Strategic Implications</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Exactly 3 action-oriented implications for your sales approach</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Numbered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Evidence Confidence Flag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Warns rep if input was too thin to support reliable conclusions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line label</w:t>
            </w:r>
          </w:p>
        </w:tc>
      </w:tr>
    </w:tbl>
    <w:p>
      <w:pPr>
        <w:spacing w:before="40" w:after="40"/>
      </w:pPr>
      <w:r>
        <w:t xml:space="preserve"/>
      </w:r>
    </w:p>
    <w:p>
      <w:pPr>
        <w:spacing w:before="60" w:after="60"/>
      </w:pPr>
      <w:r>
        <w:rPr>
          <w:rFonts w:ascii="Arial" w:cs="Arial" w:eastAsia="Arial" w:hAnsi="Arial"/>
          <w:color w:val="333333"/>
          <w:sz w:val="22"/>
          <w:szCs w:val="22"/>
        </w:rPr>
        <w:t xml:space="preserve">The complete output is designed to fit on one printed page or one unscrolled screen. This is a hard design constraint — a rep reading this in a parking lot before a meeting cannot navigate a multi-page document.</w:t>
      </w:r>
    </w:p>
    <w:p>
      <w:pPr>
        <w:spacing w:before="40" w:after="40"/>
      </w:pPr>
      <w:r>
        <w:t xml:space="preserve"/>
      </w:r>
    </w:p>
    <w:p>
      <w:pPr>
        <w:pBdr>
          <w:bottom w:val="single" w:color="1F3864" w:sz="6" w:space="1"/>
        </w:pBdr>
        <w:spacing w:before="320" w:after="120"/>
      </w:pPr>
      <w:r>
        <w:rPr>
          <w:rFonts w:ascii="Arial" w:cs="Arial" w:eastAsia="Arial" w:hAnsi="Arial"/>
          <w:b/>
          <w:bCs/>
          <w:color w:val="1F3864"/>
          <w:sz w:val="28"/>
          <w:szCs w:val="28"/>
        </w:rPr>
        <w:t xml:space="preserve">4. Anticipated Failure Modes</w:t>
      </w:r>
    </w:p>
    <w:p>
      <w:pPr>
        <w:spacing w:before="60" w:after="60"/>
      </w:pPr>
      <w:r>
        <w:rPr>
          <w:rFonts w:ascii="Arial" w:cs="Arial" w:eastAsia="Arial" w:hAnsi="Arial"/>
          <w:color w:val="333333"/>
          <w:sz w:val="22"/>
          <w:szCs w:val="22"/>
        </w:rPr>
        <w:t xml:space="preserve">The following table identifies six specific ways IRONSCOUT is expected to struggle, explains why each failure occurs at the prompt engineering level, and proposes a mitigation instruction to address it. These failure modes also define the stress test plan for Week 6.</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000"/>
        <w:gridCol w:w="3080"/>
        <w:gridCol w:w="4080"/>
      </w:tblGrid>
      <w:tr>
        <w:tc>
          <w:tcPr>
            <w:tcW w:type="dxa" w:w="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It Fails</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Prompt Engineering Mitigation</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Marketing-only input with no factual claims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Homepage copy is often 100% aspirational language. The model has nothing concrete to work with but will still generate plausible-sounding output by hallucinating specifics.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Instruct the model: if the input contains no verifiable claims or specific details, write "Insufficient evidence" for that section rather than inferring.</w:t>
            </w:r>
          </w:p>
        </w:tc>
      </w:tr>
      <w:tr>
        <w:tc>
          <w:tcPr>
            <w:tcW w:type="dxa" w:w="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3864"/>
                <w:sz w:val="20"/>
                <w:szCs w:val="20"/>
              </w:rPr>
              <w:t xml:space="preserve">2</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 own company pasted instead of a competitor's</w:t>
            </w:r>
          </w:p>
        </w:tc>
        <w:tc>
          <w:tcPr>
            <w:tcW w:type="dxa" w:w="3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rushed rep may paste the wrong text. The model will analyze it faithfully and produce a self-assessment, which could mislead the rep before a meeting.</w:t>
            </w:r>
          </w:p>
        </w:tc>
        <w:tc>
          <w:tcPr>
            <w:tcW w:type="dxa" w:w="4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 framing check: before analyzing, note whether the text appears to describe the user's own organization. If ambiguous, flag it and ask for clarification.</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Generic strategic implications with no sales value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Without context about the user's own company, the model defaults to advice like "invest in innovation" — true but useless to a field rep.</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Prompt the user for a one-sentence description of their own company before generating implications. Use it to anchor the output to a specific competitive contrast.</w:t>
            </w:r>
          </w:p>
        </w:tc>
      </w:tr>
      <w:tr>
        <w:tc>
          <w:tcPr>
            <w:tcW w:type="dxa" w:w="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3864"/>
                <w:sz w:val="20"/>
                <w:szCs w:val="20"/>
              </w:rPr>
              <w:t xml:space="preserve">4</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Input referencing multiple companies at once</w:t>
            </w:r>
          </w:p>
        </w:tc>
        <w:tc>
          <w:tcPr>
            <w:tcW w:type="dxa" w:w="3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rep may paste an industry overview article covering several competitors. The model blends them into a confused brief.</w:t>
            </w:r>
          </w:p>
        </w:tc>
        <w:tc>
          <w:tcPr>
            <w:tcW w:type="dxa" w:w="4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Instruct the model: if the input references more than one distinct company, ask the user to confirm which to focus on before generating the brief.</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Negative press skewing the weaknesses section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single bad-press article causes weaknesses to over-index on reputational issues while missing structural gaps — compounding the bias risk noted in Section 5.</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Instruct the model to distinguish between stated positioning and external perception, and label the source type when possible.</w:t>
            </w:r>
          </w:p>
        </w:tc>
      </w:tr>
      <w:tr>
        <w:tc>
          <w:tcPr>
            <w:tcW w:type="dxa" w:w="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3864"/>
                <w:sz w:val="20"/>
                <w:szCs w:val="20"/>
              </w:rPr>
              <w:t xml:space="preserve">6</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Volume overload from very long input</w:t>
            </w:r>
          </w:p>
        </w:tc>
        <w:tc>
          <w:tcPr>
            <w:tcW w:type="dxa" w:w="3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Pasting a full earnings call transcript may cause the model to lose focus and return a generic summary rather than targeted competitive signal.</w:t>
            </w:r>
          </w:p>
        </w:tc>
        <w:tc>
          <w:tcPr>
            <w:tcW w:type="dxa" w:w="4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an input length advisory: recommend 150–800 words for best results. For long inputs, instruct the model to prioritize the opening and closing sections where key claims tend to cluster.</w:t>
            </w:r>
          </w:p>
        </w:tc>
      </w:tr>
    </w:tbl>
    <w:p>
      <w:pPr>
        <w:spacing w:before="40" w:after="40"/>
      </w:pPr>
      <w:r>
        <w:t xml:space="preserve"/>
      </w:r>
    </w:p>
    <w:p>
      <w:pPr>
        <w:pBdr>
          <w:bottom w:val="single" w:color="1F3864" w:sz="6" w:space="1"/>
        </w:pBdr>
        <w:spacing w:before="320" w:after="120"/>
      </w:pPr>
      <w:r>
        <w:rPr>
          <w:rFonts w:ascii="Arial" w:cs="Arial" w:eastAsia="Arial" w:hAnsi="Arial"/>
          <w:b/>
          <w:bCs/>
          <w:color w:val="1F3864"/>
          <w:sz w:val="28"/>
          <w:szCs w:val="28"/>
        </w:rPr>
        <w:t xml:space="preserve">5. Ethical Flags</w:t>
      </w:r>
    </w:p>
    <w:p>
      <w:pPr>
        <w:spacing w:before="220" w:after="80"/>
      </w:pPr>
      <w:r>
        <w:rPr>
          <w:rFonts w:ascii="Arial" w:cs="Arial" w:eastAsia="Arial" w:hAnsi="Arial"/>
          <w:b/>
          <w:bCs/>
          <w:color w:val="2E5090"/>
          <w:sz w:val="23"/>
          <w:szCs w:val="23"/>
          <w:u w:val="single"/>
        </w:rPr>
        <w:t xml:space="preserve">Does this tool make decisions that affect people?</w:t>
      </w:r>
    </w:p>
    <w:p>
      <w:pPr>
        <w:spacing w:before="60" w:after="60"/>
      </w:pPr>
      <w:r>
        <w:rPr>
          <w:rFonts w:ascii="Arial" w:cs="Arial" w:eastAsia="Arial" w:hAnsi="Arial"/>
          <w:color w:val="333333"/>
          <w:sz w:val="22"/>
          <w:szCs w:val="22"/>
        </w:rPr>
        <w:t xml:space="preserve">IRONSCOUT does not make decisions about individuals. However, its output directly informs sales strategy and business decisions — including which prospects to pursue, how to position against a competitor, and what objections to raise in a customer conversation. If the brief is inaccurate or biased, those business decisions are built on a flawed foundation.</w:t>
      </w:r>
    </w:p>
    <w:p>
      <w:pPr>
        <w:spacing w:before="220" w:after="80"/>
      </w:pPr>
      <w:r>
        <w:rPr>
          <w:rFonts w:ascii="Arial" w:cs="Arial" w:eastAsia="Arial" w:hAnsi="Arial"/>
          <w:b/>
          <w:bCs/>
          <w:color w:val="2E5090"/>
          <w:sz w:val="23"/>
          <w:szCs w:val="23"/>
          <w:u w:val="single"/>
        </w:rPr>
        <w:t xml:space="preserve">What bias risks exist in the tool's outputs?</w:t>
      </w:r>
    </w:p>
    <w:p>
      <w:pPr>
        <w:pStyle w:val="ListParagraph"/>
        <w:numPr>
          <w:ilvl w:val="0"/>
          <w:numId w:val="2"/>
        </w:numPr>
        <w:spacing w:before="40" w:after="40"/>
      </w:pPr>
      <w:r>
        <w:rPr>
          <w:rFonts w:ascii="Arial" w:cs="Arial" w:eastAsia="Arial" w:hAnsi="Arial"/>
          <w:color w:val="333333"/>
          <w:sz w:val="22"/>
          <w:szCs w:val="22"/>
        </w:rPr>
        <w:t xml:space="preserve">Negative news articles or social media reviews can skew the weaknesses section to over-represent reputational issues rather than structural competitive gaps.</w:t>
      </w:r>
    </w:p>
    <w:p>
      <w:pPr>
        <w:pStyle w:val="ListParagraph"/>
        <w:numPr>
          <w:ilvl w:val="0"/>
          <w:numId w:val="2"/>
        </w:numPr>
        <w:spacing w:before="40" w:after="40"/>
      </w:pPr>
      <w:r>
        <w:rPr>
          <w:rFonts w:ascii="Arial" w:cs="Arial" w:eastAsia="Arial" w:hAnsi="Arial"/>
          <w:color w:val="333333"/>
          <w:sz w:val="22"/>
          <w:szCs w:val="22"/>
        </w:rPr>
        <w:t xml:space="preserve">Private companies have limited public information, which means the model may fill gaps with inference rather than evidence — presenting speculation as fact.</w:t>
      </w:r>
    </w:p>
    <w:p>
      <w:pPr>
        <w:pStyle w:val="ListParagraph"/>
        <w:numPr>
          <w:ilvl w:val="0"/>
          <w:numId w:val="2"/>
        </w:numPr>
        <w:spacing w:before="40" w:after="40"/>
      </w:pPr>
      <w:r>
        <w:rPr>
          <w:rFonts w:ascii="Arial" w:cs="Arial" w:eastAsia="Arial" w:hAnsi="Arial"/>
          <w:color w:val="333333"/>
          <w:sz w:val="22"/>
          <w:szCs w:val="22"/>
        </w:rPr>
        <w:t xml:space="preserve">The model may reflect the framing of whatever source the user pastes. A press release written by the competitor will produce an overly favorable brief; a hit piece will produce an unfairly negative one.</w:t>
      </w:r>
    </w:p>
    <w:p>
      <w:pPr>
        <w:pStyle w:val="ListParagraph"/>
        <w:numPr>
          <w:ilvl w:val="0"/>
          <w:numId w:val="2"/>
        </w:numPr>
        <w:spacing w:before="40" w:after="40"/>
      </w:pPr>
      <w:r>
        <w:rPr>
          <w:rFonts w:ascii="Arial" w:cs="Arial" w:eastAsia="Arial" w:hAnsi="Arial"/>
          <w:color w:val="333333"/>
          <w:sz w:val="22"/>
          <w:szCs w:val="22"/>
        </w:rPr>
        <w:t xml:space="preserve">Strategic implications may inadvertently reflect assumptions about industry norms or company size that don't apply to every user's context.</w:t>
      </w:r>
    </w:p>
    <w:p>
      <w:pPr>
        <w:spacing w:before="220" w:after="80"/>
      </w:pPr>
      <w:r>
        <w:rPr>
          <w:rFonts w:ascii="Arial" w:cs="Arial" w:eastAsia="Arial" w:hAnsi="Arial"/>
          <w:b/>
          <w:bCs/>
          <w:color w:val="2E5090"/>
          <w:sz w:val="23"/>
          <w:szCs w:val="23"/>
          <w:u w:val="single"/>
        </w:rPr>
        <w:t xml:space="preserve">What disclaimer should accompany this tool in real deployment?</w:t>
      </w:r>
    </w:p>
    <w:p>
      <w:pPr>
        <w:spacing w:before="40" w:after="40"/>
      </w:pPr>
      <w:r>
        <w:t xml:space="preserve"/>
      </w:r>
    </w:p>
    <w:p>
      <w:pPr>
        <w:pBdr>
          <w:left w:val="single" w:color="2E5090" w:sz="12" w:space="8"/>
        </w:pBdr>
        <w:spacing w:before="60" w:after="60"/>
        <w:ind w:left="720"/>
      </w:pPr>
      <w:r>
        <w:rPr>
          <w:rFonts w:ascii="Arial" w:cs="Arial" w:eastAsia="Arial" w:hAnsi="Arial"/>
          <w:i/>
          <w:iCs/>
          <w:color w:val="555555"/>
          <w:sz w:val="21"/>
          <w:szCs w:val="21"/>
        </w:rPr>
        <w:t xml:space="preserve">"This brief is generated from user-provided text and is intended as a starting point for research, not a definitive competitive assessment. It is not business, financial, or legal advice. All outputs should be verified by the user before use in business planning or customer-facing conversations. IRONSCOUT does not access real-time data and is only as accurate as the information provided."</w:t>
      </w:r>
    </w:p>
    <w:p>
      <w:pPr>
        <w:spacing w:before="40" w:after="40"/>
      </w:pPr>
      <w:r>
        <w:t xml:space="preserve"/>
      </w:r>
    </w:p>
    <w:p>
      <w:pPr>
        <w:pBdr>
          <w:top w:val="single" w:color="CCCCCC" w:sz="4" w:space="6"/>
        </w:pBdr>
        <w:spacing w:before="320" w:after="0"/>
        <w:jc w:val="center"/>
      </w:pPr>
      <w:r>
        <w:rPr>
          <w:rFonts w:ascii="Arial" w:cs="Arial" w:eastAsia="Arial" w:hAnsi="Arial"/>
          <w:i/>
          <w:iCs/>
          <w:color w:val="999999"/>
          <w:sz w:val="18"/>
          <w:szCs w:val="18"/>
        </w:rPr>
        <w:t xml:space="preserve">Byron Enrico &amp; Jake Slagle  |  BUS 670 — Strategic AI for Modern Business  |  Spring 2026  |  William Jessup University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2026-03-22T05:23:29.221Z</dcterms:created>
  <dcterms:modified xsi:type="dcterms:W3CDTF">2026-03-22T05:23:29.221Z</dcterms:modified>
</cp:coreProperties>
</file>

<file path=docProps/custom.xml><?xml version="1.0" encoding="utf-8"?>
<Properties xmlns="http://schemas.openxmlformats.org/officeDocument/2006/custom-properties" xmlns:vt="http://schemas.openxmlformats.org/officeDocument/2006/docPropsVTypes"/>
</file>