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Escuela DUOC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Uc Antonio Varas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Jesús Alejandro Morales Allendes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00"/>
        <w:gridCol w:w="1005"/>
        <w:gridCol w:w="1350"/>
        <w:gridCol w:w="1200"/>
        <w:gridCol w:w="1455"/>
        <w:gridCol w:w="1590"/>
        <w:gridCol w:w="915"/>
        <w:tblGridChange w:id="0">
          <w:tblGrid>
            <w:gridCol w:w="2400"/>
            <w:gridCol w:w="1005"/>
            <w:gridCol w:w="1350"/>
            <w:gridCol w:w="1200"/>
            <w:gridCol w:w="1455"/>
            <w:gridCol w:w="1590"/>
            <w:gridCol w:w="91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3.984375000000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Administrar la configuración de ambientes, servicios de aplicaciones y bases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datos en un entorno empresarial a fin de habilitar operatividad o asegurar</w:t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la continuidad de los sistemas que apoyan los procesos de negocio de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acuerdo con los estándares definidos por la industria.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7.26562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</w:t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procesos de acuerdo con los requerimientos de la organización.</w:t>
            </w:r>
          </w:p>
          <w:p w:rsidR="00000000" w:rsidDel="00000000" w:rsidP="00000000" w:rsidRDefault="00000000" w:rsidRPr="00000000" w14:paraId="00000045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sistematizar el proceso de desarrollo y mantenimiento, asegurando el logro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los objetivos.</w:t>
            </w:r>
          </w:p>
          <w:p w:rsidR="00000000" w:rsidDel="00000000" w:rsidP="00000000" w:rsidRDefault="00000000" w:rsidRPr="00000000" w14:paraId="0000004F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Modelos de datos para soportar los requerimientos de la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organización acuerdo a un diseño definido y escalable en el tiempo.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7.26562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Programar consultas o rutinas para manipular información de una base de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datos de acuerdo con los requerimientos de la organización.</w:t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3.6328125000002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programas y rutinas de variada complejidad para dar solución a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requerimientos de la organización, acordes a tecnologías de mercado y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utilizando buenas prácticas de codificación.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procesos utilizando buenas prácticas definidas por la industria.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6.9921875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el modelo arquitectónico de una solución sistémica que soporte los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procesos de negocio de acuerdo los requerimientos de la organización y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estándares industria.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Implementar soluciones sistémicas integrales para automatizar u optimizar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procesos de negocio de acuerdo con las necesidades de la organización.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las vulnerabilidades sistémicas para asegurar que el software</w:t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construido cumple las normas de seguridad exigidas por la industria.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 de</w:t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decisiones de acuerdo con los requerimientos de la organización.</w:t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la transformación de grandes volúmenes de datos para la</w:t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obtención de información y conocimiento de la organización a fin de apoyar</w:t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la toma de decisiones y la mejora de los procesos de negocio, de acuerdo con</w:t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las necesidades de la organización.</w:t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B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B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jtQ+Z8YjKXak6mqMzpLhDI6hmg==">CgMxLjAyCGguZ2pkZ3hzMgloLjMwajB6bGw4AHIhMXdhd291ZU5uQUdfSXpaUm42RWhqU0JZNnpPQXZ6WFVa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