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600" w:hRule="exact"/>
        </w:trPr>
        <w:tc>
          <w:tcPr>
            <w:tcW w:type="dxa" w:w="12240"/>
            <w:tcBorders>
              <w:top w:val="none" w:color="FFFFFF" w:sz="0"/>
              <w:left w:val="none" w:color="FFFFFF" w:sz="0"/>
              <w:bottom w:val="none" w:color="FFFFFF" w:sz="0"/>
              <w:right w:val="none" w:color="FFFFFF" w:sz="0"/>
            </w:tcBorders>
            <w:shd w:fill="D57028" w:val="clear"/>
          </w:tcPr>
          <w:p/>
        </w:tc>
      </w:tr>
    </w:tbl>
    <w:p>
      <w:pPr>
        <w:spacing w:before="2400" w:after="0"/>
      </w:pPr>
    </w:p>
    <w:p>
      <w:pPr>
        <w:spacing w:after="120"/>
        <w:jc w:val="center"/>
      </w:pPr>
      <w:r>
        <w:rPr>
          <w:rFonts w:ascii="Arimo" w:cs="Arimo" w:eastAsia="Arimo" w:hAnsi="Arimo"/>
          <w:b/>
          <w:bCs/>
          <w:color w:val="1B3533"/>
          <w:spacing w:val="400"/>
          <w:sz w:val="72"/>
          <w:szCs w:val="72"/>
        </w:rPr>
        <w:t xml:space="preserve">SENGO</w:t>
      </w:r>
    </w:p>
    <w:p>
      <w:pPr>
        <w:spacing w:after="80"/>
        <w:jc w:val="center"/>
      </w:pPr>
      <w:r>
        <w:rPr>
          <w:rFonts w:ascii="Helvetica" w:cs="Helvetica" w:eastAsia="Helvetica" w:hAnsi="Helvetica"/>
          <w:color w:val="744D1F"/>
          <w:sz w:val="32"/>
          <w:szCs w:val="32"/>
        </w:rPr>
        <w:t xml:space="preserve">戦後</w:t>
      </w:r>
    </w:p>
    <w:p>
      <w:pPr>
        <w:pBdr>
          <w:bottom w:val="single" w:color="D57028" w:sz="4" w:space="8"/>
        </w:pBdr>
        <w:spacing w:before="200" w:after="200"/>
      </w:pPr>
    </w:p>
    <w:p>
      <w:pPr>
        <w:spacing w:before="200" w:after="0"/>
      </w:pPr>
    </w:p>
    <w:p>
      <w:pPr>
        <w:spacing w:after="200"/>
        <w:jc w:val="center"/>
      </w:pPr>
      <w:r>
        <w:rPr>
          <w:rFonts w:ascii="Arimo" w:cs="Arimo" w:eastAsia="Arimo" w:hAnsi="Arimo"/>
          <w:b/>
          <w:bCs/>
          <w:color w:val="67441A"/>
          <w:spacing w:val="200"/>
          <w:sz w:val="36"/>
          <w:szCs w:val="36"/>
        </w:rPr>
        <w:t xml:space="preserve">BUSINESS PLAN</w:t>
      </w:r>
    </w:p>
    <w:p>
      <w:pPr>
        <w:spacing w:before="100" w:after="0"/>
      </w:pPr>
    </w:p>
    <w:p>
      <w:pPr>
        <w:spacing w:after="60"/>
        <w:jc w:val="center"/>
      </w:pPr>
      <w:r>
        <w:rPr>
          <w:rFonts w:ascii="Helvetica" w:cs="Helvetica" w:eastAsia="Helvetica" w:hAnsi="Helvetica"/>
          <w:i/>
          <w:iCs/>
          <w:color w:val="744D1F"/>
          <w:sz w:val="24"/>
          <w:szCs w:val="24"/>
        </w:rPr>
        <w:t xml:space="preserve">AI-Powered Education for Fundraising &amp; Investing</w:t>
      </w:r>
    </w:p>
    <w:p>
      <w:pPr>
        <w:spacing w:after="60"/>
        <w:jc w:val="center"/>
      </w:pPr>
      <w:r>
        <w:rPr>
          <w:rFonts w:ascii="Helvetica" w:cs="Helvetica" w:eastAsia="Helvetica" w:hAnsi="Helvetica"/>
          <w:color w:val="D57028"/>
          <w:sz w:val="22"/>
          <w:szCs w:val="22"/>
        </w:rPr>
        <w:t xml:space="preserve">Education  ·  Community  ·  Access</w:t>
      </w:r>
    </w:p>
    <w:p>
      <w:pPr>
        <w:spacing w:before="2000" w:after="0"/>
      </w:pPr>
    </w:p>
    <w:p>
      <w:pPr>
        <w:jc w:val="center"/>
      </w:pPr>
      <w:r>
        <w:rPr>
          <w:rFonts w:ascii="Helvetica" w:cs="Helvetica" w:eastAsia="Helvetica" w:hAnsi="Helvetica"/>
          <w:color w:val="D4C5B0"/>
          <w:sz w:val="20"/>
          <w:szCs w:val="20"/>
        </w:rPr>
        <w:t xml:space="preserve">Confidential  |  2026</w:t>
      </w:r>
    </w:p>
    <w:p>
      <w:pPr>
        <w:spacing w:before="400" w:after="0"/>
      </w:pP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600" w:hRule="exact"/>
        </w:trPr>
        <w:tc>
          <w:tcPr>
            <w:tcW w:type="dxa" w:w="12240"/>
            <w:tcBorders>
              <w:top w:val="none" w:color="FFFFFF" w:sz="0"/>
              <w:left w:val="none" w:color="FFFFFF" w:sz="0"/>
              <w:bottom w:val="none" w:color="FFFFFF" w:sz="0"/>
              <w:right w:val="none" w:color="FFFFFF" w:sz="0"/>
            </w:tcBorders>
            <w:shd w:fill="1B3533" w:val="clear"/>
          </w:tcPr>
          <w:p/>
        </w:tc>
      </w:tr>
    </w:tbl>
    <w:p>
      <w:pPr>
        <w:sectPr>
          <w:pgSz w:w="12240" w:h="15840" w:orient="portrait"/>
          <w:pgMar w:top="0" w:right="0" w:bottom="0" w:left="0" w:header="708" w:footer="708" w:gutter="0"/>
          <w:pgNumType/>
          <w:docGrid w:linePitch="360"/>
        </w:sectPr>
      </w:pPr>
    </w:p>
    <w:p>
      <w:pPr>
        <w:spacing w:before="360" w:after="60"/>
      </w:pPr>
      <w:r>
        <w:rPr>
          <w:rFonts w:ascii="Arimo" w:cs="Arimo" w:eastAsia="Arimo" w:hAnsi="Arimo"/>
          <w:b/>
          <w:bCs/>
          <w:color w:val="1B3533"/>
          <w:sz w:val="28"/>
          <w:szCs w:val="28"/>
        </w:rPr>
        <w:t xml:space="preserve">EXECUTIVE SUMMARY</w:t>
      </w:r>
    </w:p>
    <w:p>
      <w:pPr>
        <w:pBdr>
          <w:bottom w:val="single" w:color="D57028" w:sz="4" w:space="8"/>
        </w:pBdr>
        <w:spacing w:before="200" w:after="200"/>
      </w:pPr>
    </w:p>
    <w:p>
      <w:pPr>
        <w:spacing w:before="60" w:after="60" w:line="276"/>
        <w:jc w:val="left"/>
      </w:pPr>
      <w:r>
        <w:rPr>
          <w:rFonts w:ascii="Helvetica" w:cs="Helvetica" w:eastAsia="Helvetica" w:hAnsi="Helvetica"/>
          <w:color w:val="67441A"/>
          <w:sz w:val="21"/>
          <w:szCs w:val="21"/>
        </w:rPr>
        <w:t xml:space="preserve">Sengo is an AI-powered education platform reimagining fundraising and investing through education, community, and access. We are building the infrastructure that empowers emerging founders to access funding and enables everyday funders to participate in the fastest-growing asset class: private markets.</w:t>
      </w:r>
    </w:p>
    <w:p>
      <w:pPr>
        <w:spacing w:before="60" w:after="60" w:line="276"/>
        <w:jc w:val="left"/>
      </w:pPr>
      <w:r>
        <w:rPr>
          <w:rFonts w:ascii="Helvetica" w:cs="Helvetica" w:eastAsia="Helvetica" w:hAnsi="Helvetica"/>
          <w:color w:val="67441A"/>
          <w:sz w:val="21"/>
          <w:szCs w:val="21"/>
        </w:rPr>
        <w:t xml:space="preserve">Private market AUM reached a record $14.9 trillion in 2025 and is projected to exceed $30 trillion within five years. Yet, of the 49 million Americans eligible to invest in private companies, fewer than 2% actually do. At the same time, 5.5 million businesses start each year, but less than 3% access venture funding.</w:t>
      </w:r>
    </w:p>
    <w:p>
      <w:pPr>
        <w:spacing w:before="60" w:after="60" w:line="276"/>
        <w:jc w:val="left"/>
      </w:pPr>
      <w:r>
        <w:rPr>
          <w:rFonts w:ascii="Helvetica" w:cs="Helvetica" w:eastAsia="Helvetica" w:hAnsi="Helvetica"/>
          <w:color w:val="67441A"/>
          <w:sz w:val="21"/>
          <w:szCs w:val="21"/>
        </w:rPr>
        <w:t xml:space="preserve">The timing has never been stronger. In August 2025, an executive order opened America’s $12.5 trillion defined-contribution market to alternative assets. Congress has passed bipartisan legislation to expand the accredited investor definition beyond wealth thresholds. And investment crowdfunding surged 58% in 2025 to nearly $925 million. Sengo provides the pathways, education, and community infrastructure to meet this moment—making capital accessible, ethical, and community-driven.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3EDE7" w:val="clear"/>
            <w:tcMar>
              <w:top w:type="dxa" w:w="120"/>
              <w:left w:type="dxa" w:w="200"/>
              <w:bottom w:type="dxa" w:w="120"/>
              <w:right w:type="dxa" w:w="200"/>
            </w:tcMar>
          </w:tcPr>
          <w:p>
            <w:pPr>
              <w:spacing w:after="40"/>
            </w:pPr>
            <w:r>
              <w:rPr>
                <w:rFonts w:ascii="Helvetica" w:cs="Helvetica" w:eastAsia="Helvetica" w:hAnsi="Helvetica"/>
                <w:b/>
                <w:bCs/>
                <w:color w:val="D57028"/>
                <w:sz w:val="28"/>
                <w:szCs w:val="28"/>
              </w:rPr>
              <w:t xml:space="preserve">136</w:t>
            </w:r>
          </w:p>
          <w:p>
            <w:r>
              <w:rPr>
                <w:rFonts w:ascii="Helvetica" w:cs="Helvetica" w:eastAsia="Helvetica" w:hAnsi="Helvetica"/>
                <w:color w:val="744D1F"/>
                <w:sz w:val="18"/>
                <w:szCs w:val="18"/>
              </w:rPr>
              <w:t xml:space="preserve">Paying subscribers (132 SaaS + 4 coaching clients)</w:t>
            </w:r>
          </w:p>
        </w:tc>
        <w:tc>
          <w:tcPr>
            <w:tcW w:type="dxa" w:w="4680"/>
            <w:tcBorders>
              <w:top w:val="none" w:color="FFFFFF" w:sz="0"/>
              <w:left w:val="none" w:color="FFFFFF" w:sz="0"/>
              <w:bottom w:val="none" w:color="FFFFFF" w:sz="0"/>
              <w:right w:val="none" w:color="FFFFFF" w:sz="0"/>
            </w:tcBorders>
            <w:shd w:fill="F3EDE7" w:val="clear"/>
            <w:tcMar>
              <w:top w:type="dxa" w:w="120"/>
              <w:left w:type="dxa" w:w="200"/>
              <w:bottom w:type="dxa" w:w="120"/>
              <w:right w:type="dxa" w:w="200"/>
            </w:tcMar>
          </w:tcPr>
          <w:p>
            <w:pPr>
              <w:spacing w:after="40"/>
            </w:pPr>
            <w:r>
              <w:rPr>
                <w:rFonts w:ascii="Helvetica" w:cs="Helvetica" w:eastAsia="Helvetica" w:hAnsi="Helvetica"/>
                <w:b/>
                <w:bCs/>
                <w:color w:val="D57028"/>
                <w:sz w:val="28"/>
                <w:szCs w:val="28"/>
              </w:rPr>
              <w:t xml:space="preserve">10,000+</w:t>
            </w:r>
          </w:p>
          <w:p>
            <w:r>
              <w:rPr>
                <w:rFonts w:ascii="Helvetica" w:cs="Helvetica" w:eastAsia="Helvetica" w:hAnsi="Helvetica"/>
                <w:color w:val="744D1F"/>
                <w:sz w:val="18"/>
                <w:szCs w:val="18"/>
              </w:rPr>
              <w:t xml:space="preserve">Email subscribers (organic)</w:t>
            </w:r>
          </w:p>
        </w:tc>
      </w:tr>
      <w:tr>
        <w:tc>
          <w:tcPr>
            <w:tcW w:type="dxa" w:w="4680"/>
            <w:tcBorders>
              <w:top w:val="none" w:color="FFFFFF" w:sz="0"/>
              <w:left w:val="none" w:color="FFFFFF" w:sz="0"/>
              <w:bottom w:val="none" w:color="FFFFFF" w:sz="0"/>
              <w:right w:val="none" w:color="FFFFFF" w:sz="0"/>
            </w:tcBorders>
            <w:shd w:fill="F3EDE7" w:val="clear"/>
            <w:tcMar>
              <w:top w:type="dxa" w:w="120"/>
              <w:left w:type="dxa" w:w="200"/>
              <w:bottom w:type="dxa" w:w="120"/>
              <w:right w:type="dxa" w:w="200"/>
            </w:tcMar>
          </w:tcPr>
          <w:p>
            <w:pPr>
              <w:spacing w:after="40"/>
            </w:pPr>
            <w:r>
              <w:rPr>
                <w:rFonts w:ascii="Helvetica" w:cs="Helvetica" w:eastAsia="Helvetica" w:hAnsi="Helvetica"/>
                <w:b/>
                <w:bCs/>
                <w:color w:val="D57028"/>
                <w:sz w:val="28"/>
                <w:szCs w:val="28"/>
              </w:rPr>
              <w:t xml:space="preserve">46.5%</w:t>
            </w:r>
          </w:p>
          <w:p>
            <w:r>
              <w:rPr>
                <w:rFonts w:ascii="Helvetica" w:cs="Helvetica" w:eastAsia="Helvetica" w:hAnsi="Helvetica"/>
                <w:color w:val="744D1F"/>
                <w:sz w:val="18"/>
                <w:szCs w:val="18"/>
              </w:rPr>
              <w:t xml:space="preserve">Email open rate (4X industry avg.)</w:t>
            </w:r>
          </w:p>
        </w:tc>
        <w:tc>
          <w:tcPr>
            <w:tcW w:type="dxa" w:w="4680"/>
            <w:tcBorders>
              <w:top w:val="none" w:color="FFFFFF" w:sz="0"/>
              <w:left w:val="none" w:color="FFFFFF" w:sz="0"/>
              <w:bottom w:val="none" w:color="FFFFFF" w:sz="0"/>
              <w:right w:val="none" w:color="FFFFFF" w:sz="0"/>
            </w:tcBorders>
            <w:shd w:fill="F3EDE7" w:val="clear"/>
            <w:tcMar>
              <w:top w:type="dxa" w:w="120"/>
              <w:left w:type="dxa" w:w="200"/>
              <w:bottom w:type="dxa" w:w="120"/>
              <w:right w:type="dxa" w:w="200"/>
            </w:tcMar>
          </w:tcPr>
          <w:p>
            <w:pPr>
              <w:spacing w:after="40"/>
            </w:pPr>
            <w:r>
              <w:rPr>
                <w:rFonts w:ascii="Helvetica" w:cs="Helvetica" w:eastAsia="Helvetica" w:hAnsi="Helvetica"/>
                <w:b/>
                <w:bCs/>
                <w:color w:val="D57028"/>
                <w:sz w:val="28"/>
                <w:szCs w:val="28"/>
              </w:rPr>
              <w:t xml:space="preserve">$5,886</w:t>
            </w:r>
          </w:p>
          <w:p>
            <w:r>
              <w:rPr>
                <w:rFonts w:ascii="Helvetica" w:cs="Helvetica" w:eastAsia="Helvetica" w:hAnsi="Helvetica"/>
                <w:color w:val="744D1F"/>
                <w:sz w:val="18"/>
                <w:szCs w:val="18"/>
              </w:rPr>
              <w:t xml:space="preserve">Monthly recurring revenue</w:t>
            </w:r>
          </w:p>
        </w:tc>
      </w:tr>
      <w:tr>
        <w:tc>
          <w:tcPr>
            <w:tcW w:type="dxa" w:w="4680"/>
            <w:tcBorders>
              <w:top w:val="none" w:color="FFFFFF" w:sz="0"/>
              <w:left w:val="none" w:color="FFFFFF" w:sz="0"/>
              <w:bottom w:val="none" w:color="FFFFFF" w:sz="0"/>
              <w:right w:val="none" w:color="FFFFFF" w:sz="0"/>
            </w:tcBorders>
            <w:shd w:fill="F3EDE7" w:val="clear"/>
            <w:tcMar>
              <w:top w:type="dxa" w:w="120"/>
              <w:left w:type="dxa" w:w="200"/>
              <w:bottom w:type="dxa" w:w="120"/>
              <w:right w:type="dxa" w:w="200"/>
            </w:tcMar>
          </w:tcPr>
          <w:p>
            <w:pPr>
              <w:spacing w:after="40"/>
            </w:pPr>
            <w:r>
              <w:rPr>
                <w:rFonts w:ascii="Helvetica" w:cs="Helvetica" w:eastAsia="Helvetica" w:hAnsi="Helvetica"/>
                <w:b/>
                <w:bCs/>
                <w:color w:val="D57028"/>
                <w:sz w:val="28"/>
                <w:szCs w:val="28"/>
              </w:rPr>
              <w:t xml:space="preserve">$178K</w:t>
            </w:r>
          </w:p>
          <w:p>
            <w:r>
              <w:rPr>
                <w:rFonts w:ascii="Helvetica" w:cs="Helvetica" w:eastAsia="Helvetica" w:hAnsi="Helvetica"/>
                <w:color w:val="744D1F"/>
                <w:sz w:val="18"/>
                <w:szCs w:val="18"/>
              </w:rPr>
              <w:t xml:space="preserve">2025 revenue (4X YoY growth)</w:t>
            </w:r>
          </w:p>
        </w:tc>
        <w:tc>
          <w:tcPr>
            <w:tcW w:type="dxa" w:w="4680"/>
            <w:tcBorders>
              <w:top w:val="none" w:color="FFFFFF" w:sz="0"/>
              <w:left w:val="none" w:color="FFFFFF" w:sz="0"/>
              <w:bottom w:val="none" w:color="FFFFFF" w:sz="0"/>
              <w:right w:val="none" w:color="FFFFFF" w:sz="0"/>
            </w:tcBorders>
            <w:shd w:fill="F3EDE7" w:val="clear"/>
            <w:tcMar>
              <w:top w:type="dxa" w:w="120"/>
              <w:left w:type="dxa" w:w="200"/>
              <w:bottom w:type="dxa" w:w="120"/>
              <w:right w:type="dxa" w:w="200"/>
            </w:tcMar>
          </w:tcPr>
          <w:p>
            <w:pPr>
              <w:spacing w:after="40"/>
            </w:pPr>
            <w:r>
              <w:rPr>
                <w:rFonts w:ascii="Helvetica" w:cs="Helvetica" w:eastAsia="Helvetica" w:hAnsi="Helvetica"/>
                <w:b/>
                <w:bCs/>
                <w:color w:val="D57028"/>
                <w:sz w:val="28"/>
                <w:szCs w:val="28"/>
              </w:rPr>
              <w:t xml:space="preserve">$92K</w:t>
            </w:r>
          </w:p>
          <w:p>
            <w:r>
              <w:rPr>
                <w:rFonts w:ascii="Helvetica" w:cs="Helvetica" w:eastAsia="Helvetica" w:hAnsi="Helvetica"/>
                <w:color w:val="744D1F"/>
                <w:sz w:val="18"/>
                <w:szCs w:val="18"/>
              </w:rPr>
              <w:t xml:space="preserve">2025 net income (33% margin)</w:t>
            </w:r>
          </w:p>
        </w:tc>
      </w:tr>
      <w:tr>
        <w:tc>
          <w:tcPr>
            <w:tcW w:type="dxa" w:w="4680"/>
            <w:tcBorders>
              <w:top w:val="none" w:color="FFFFFF" w:sz="0"/>
              <w:left w:val="none" w:color="FFFFFF" w:sz="0"/>
              <w:bottom w:val="none" w:color="FFFFFF" w:sz="0"/>
              <w:right w:val="none" w:color="FFFFFF" w:sz="0"/>
            </w:tcBorders>
            <w:shd w:fill="F3EDE7" w:val="clear"/>
            <w:tcMar>
              <w:top w:type="dxa" w:w="120"/>
              <w:left w:type="dxa" w:w="200"/>
              <w:bottom w:type="dxa" w:w="120"/>
              <w:right w:type="dxa" w:w="200"/>
            </w:tcMar>
          </w:tcPr>
          <w:p>
            <w:pPr>
              <w:spacing w:after="40"/>
            </w:pPr>
            <w:r>
              <w:rPr>
                <w:rFonts w:ascii="Helvetica" w:cs="Helvetica" w:eastAsia="Helvetica" w:hAnsi="Helvetica"/>
                <w:b/>
                <w:bCs/>
                <w:color w:val="D57028"/>
                <w:sz w:val="28"/>
                <w:szCs w:val="28"/>
              </w:rPr>
              <w:t xml:space="preserve">$32,150</w:t>
            </w:r>
          </w:p>
          <w:p>
            <w:r>
              <w:rPr>
                <w:rFonts w:ascii="Helvetica" w:cs="Helvetica" w:eastAsia="Helvetica" w:hAnsi="Helvetica"/>
                <w:color w:val="744D1F"/>
                <w:sz w:val="18"/>
                <w:szCs w:val="18"/>
              </w:rPr>
              <w:t xml:space="preserve">Grants deployed to 19 founders</w:t>
            </w:r>
          </w:p>
        </w:tc>
        <w:tc>
          <w:tcPr>
            <w:tcW w:type="dxa" w:w="4680"/>
            <w:tcBorders>
              <w:top w:val="none" w:color="FFFFFF" w:sz="0"/>
              <w:left w:val="none" w:color="FFFFFF" w:sz="0"/>
              <w:bottom w:val="none" w:color="FFFFFF" w:sz="0"/>
              <w:right w:val="none" w:color="FFFFFF" w:sz="0"/>
            </w:tcBorders>
            <w:shd w:fill="F3EDE7" w:val="clear"/>
            <w:tcMar>
              <w:top w:type="dxa" w:w="120"/>
              <w:left w:type="dxa" w:w="200"/>
              <w:bottom w:type="dxa" w:w="120"/>
              <w:right w:type="dxa" w:w="200"/>
            </w:tcMar>
          </w:tcPr>
          <w:p>
            <w:pPr>
              <w:spacing w:after="40"/>
            </w:pPr>
            <w:r>
              <w:rPr>
                <w:rFonts w:ascii="Helvetica" w:cs="Helvetica" w:eastAsia="Helvetica" w:hAnsi="Helvetica"/>
                <w:b/>
                <w:bCs/>
                <w:color w:val="D57028"/>
                <w:sz w:val="28"/>
                <w:szCs w:val="28"/>
              </w:rPr>
              <w:t xml:space="preserve">$5M+</w:t>
            </w:r>
          </w:p>
          <w:p>
            <w:r>
              <w:rPr>
                <w:rFonts w:ascii="Helvetica" w:cs="Helvetica" w:eastAsia="Helvetica" w:hAnsi="Helvetica"/>
                <w:color w:val="744D1F"/>
                <w:sz w:val="18"/>
                <w:szCs w:val="18"/>
              </w:rPr>
              <w:t xml:space="preserve">Follow-on capital raised by founders</w:t>
            </w:r>
          </w:p>
        </w:tc>
      </w:tr>
      <w:tr>
        <w:tc>
          <w:tcPr>
            <w:tcW w:type="dxa" w:w="4680"/>
            <w:tcBorders>
              <w:top w:val="none" w:color="FFFFFF" w:sz="0"/>
              <w:left w:val="none" w:color="FFFFFF" w:sz="0"/>
              <w:bottom w:val="none" w:color="FFFFFF" w:sz="0"/>
              <w:right w:val="none" w:color="FFFFFF" w:sz="0"/>
            </w:tcBorders>
            <w:shd w:fill="F3EDE7" w:val="clear"/>
            <w:tcMar>
              <w:top w:type="dxa" w:w="120"/>
              <w:left w:type="dxa" w:w="200"/>
              <w:bottom w:type="dxa" w:w="120"/>
              <w:right w:type="dxa" w:w="200"/>
            </w:tcMar>
          </w:tcPr>
          <w:p>
            <w:pPr>
              <w:spacing w:after="40"/>
            </w:pPr>
            <w:r>
              <w:rPr>
                <w:rFonts w:ascii="Helvetica" w:cs="Helvetica" w:eastAsia="Helvetica" w:hAnsi="Helvetica"/>
                <w:b/>
                <w:bCs/>
                <w:color w:val="D57028"/>
                <w:sz w:val="28"/>
                <w:szCs w:val="28"/>
              </w:rPr>
              <w:t xml:space="preserve">167X</w:t>
            </w:r>
          </w:p>
          <w:p>
            <w:r>
              <w:rPr>
                <w:rFonts w:ascii="Helvetica" w:cs="Helvetica" w:eastAsia="Helvetica" w:hAnsi="Helvetica"/>
                <w:color w:val="744D1F"/>
                <w:sz w:val="18"/>
                <w:szCs w:val="18"/>
              </w:rPr>
              <w:t xml:space="preserve">Multiplier on funds disbursed</w:t>
            </w:r>
          </w:p>
        </w:tc>
        <w:tc>
          <w:tcPr>
            <w:tcW w:type="dxa" w:w="4680"/>
            <w:tcBorders>
              <w:top w:val="none" w:color="FFFFFF" w:sz="0"/>
              <w:left w:val="none" w:color="FFFFFF" w:sz="0"/>
              <w:bottom w:val="none" w:color="FFFFFF" w:sz="0"/>
              <w:right w:val="none" w:color="FFFFFF" w:sz="0"/>
            </w:tcBorders>
            <w:shd w:fill="F3EDE7" w:val="clear"/>
            <w:tcMar>
              <w:top w:type="dxa" w:w="120"/>
              <w:left w:type="dxa" w:w="200"/>
              <w:bottom w:type="dxa" w:w="120"/>
              <w:right w:type="dxa" w:w="200"/>
            </w:tcMar>
          </w:tcPr>
          <w:p>
            <w:pPr>
              <w:spacing w:after="40"/>
            </w:pPr>
            <w:r>
              <w:rPr>
                <w:rFonts w:ascii="Helvetica" w:cs="Helvetica" w:eastAsia="Helvetica" w:hAnsi="Helvetica"/>
                <w:b/>
                <w:bCs/>
                <w:color w:val="D57028"/>
                <w:sz w:val="28"/>
                <w:szCs w:val="28"/>
              </w:rPr>
              <w:t xml:space="preserve">30+</w:t>
            </w:r>
          </w:p>
          <w:p>
            <w:r>
              <w:rPr>
                <w:rFonts w:ascii="Helvetica" w:cs="Helvetica" w:eastAsia="Helvetica" w:hAnsi="Helvetica"/>
                <w:color w:val="744D1F"/>
                <w:sz w:val="18"/>
                <w:szCs w:val="18"/>
              </w:rPr>
              <w:t xml:space="preserve">Events hosted</w:t>
            </w:r>
          </w:p>
        </w:tc>
      </w:tr>
    </w:tbl>
    <w:p>
      <w:pPr>
        <w:spacing w:before="200" w:after="0"/>
      </w:pPr>
    </w:p>
    <w:p>
      <w:pPr>
        <w:spacing w:before="360" w:after="60"/>
      </w:pPr>
      <w:r>
        <w:rPr>
          <w:rFonts w:ascii="Arimo" w:cs="Arimo" w:eastAsia="Arimo" w:hAnsi="Arimo"/>
          <w:b/>
          <w:bCs/>
          <w:color w:val="1B3533"/>
          <w:sz w:val="28"/>
          <w:szCs w:val="28"/>
        </w:rPr>
        <w:t xml:space="preserve">FOUNDER STORY</w:t>
      </w:r>
    </w:p>
    <w:p>
      <w:pPr>
        <w:pBdr>
          <w:bottom w:val="single" w:color="D57028" w:sz="4" w:space="8"/>
        </w:pBdr>
        <w:spacing w:before="200" w:after="200"/>
      </w:pPr>
    </w:p>
    <w:p>
      <w:pPr>
        <w:spacing w:before="60" w:after="60" w:line="276"/>
        <w:jc w:val="left"/>
      </w:pPr>
      <w:r>
        <w:rPr>
          <w:rFonts w:ascii="Helvetica" w:cs="Helvetica" w:eastAsia="Helvetica" w:hAnsi="Helvetica"/>
          <w:color w:val="67441A"/>
          <w:sz w:val="21"/>
          <w:szCs w:val="21"/>
        </w:rPr>
        <w:t xml:space="preserve">At 13, Ila Corcoran began searching for homes online to support her family. Real estate and alternative assets became her path forward, leading to $100M+ in transactions by age 24. But success often meant winning alone, within systems built for individual gain and designed to extract rather than sustain generational wealth.</w:t>
      </w:r>
    </w:p>
    <w:p>
      <w:pPr>
        <w:spacing w:before="60" w:after="60" w:line="276"/>
        <w:jc w:val="left"/>
      </w:pPr>
      <w:r>
        <w:rPr>
          <w:rFonts w:ascii="Helvetica" w:cs="Helvetica" w:eastAsia="Helvetica" w:hAnsi="Helvetica"/>
          <w:color w:val="67441A"/>
          <w:sz w:val="21"/>
          <w:szCs w:val="21"/>
        </w:rPr>
        <w:t xml:space="preserve">Sengo was created to change that—born from lived experience and the belief that wealth, opportunity, and ownership should be shared.</w:t>
      </w:r>
    </w:p>
    <w:p>
      <w:pPr>
        <w:spacing w:before="200" w:after="0"/>
      </w:pPr>
    </w:p>
    <w:p>
      <w:pPr>
        <w:spacing w:before="360" w:after="60"/>
      </w:pPr>
      <w:r>
        <w:rPr>
          <w:rFonts w:ascii="Arimo" w:cs="Arimo" w:eastAsia="Arimo" w:hAnsi="Arimo"/>
          <w:b/>
          <w:bCs/>
          <w:color w:val="1B3533"/>
          <w:sz w:val="28"/>
          <w:szCs w:val="28"/>
        </w:rPr>
        <w:t xml:space="preserve">THE MEANING OF SENGO</w:t>
      </w:r>
    </w:p>
    <w:p>
      <w:pPr>
        <w:pBdr>
          <w:bottom w:val="single" w:color="D57028" w:sz="4" w:space="8"/>
        </w:pBdr>
        <w:spacing w:before="200" w:after="200"/>
      </w:pPr>
    </w:p>
    <w:p>
      <w:pPr>
        <w:spacing w:before="60" w:after="60" w:line="276"/>
        <w:jc w:val="left"/>
      </w:pPr>
      <w:r>
        <w:rPr>
          <w:rFonts w:ascii="Helvetica" w:cs="Helvetica" w:eastAsia="Helvetica" w:hAnsi="Helvetica"/>
          <w:color w:val="67441A"/>
          <w:sz w:val="21"/>
          <w:szCs w:val="21"/>
        </w:rPr>
        <w:t xml:space="preserve">In Japanese, Sengo (戦後) means “postwar” or “after the war”—the era of renewal and rebuilding after World War II. It represents transformation and collective reconstruction. Our platform carries this ethos forward: a new era in capital markets, where communities become capital engines and wealth-building becomes a shared endeavor rather than an individual competition.</w:t>
      </w:r>
    </w:p>
    <w:p>
      <w:r>
        <w:br w:type="page"/>
      </w:r>
    </w:p>
    <w:p>
      <w:pPr>
        <w:spacing w:before="360" w:after="60"/>
      </w:pPr>
      <w:r>
        <w:rPr>
          <w:rFonts w:ascii="Arimo" w:cs="Arimo" w:eastAsia="Arimo" w:hAnsi="Arimo"/>
          <w:b/>
          <w:bCs/>
          <w:color w:val="1B3533"/>
          <w:sz w:val="28"/>
          <w:szCs w:val="28"/>
        </w:rPr>
        <w:t xml:space="preserve">THE PROBLEM</w:t>
      </w:r>
    </w:p>
    <w:p>
      <w:pPr>
        <w:pBdr>
          <w:bottom w:val="single" w:color="D57028" w:sz="4" w:space="8"/>
        </w:pBdr>
        <w:spacing w:before="200" w:after="200"/>
      </w:pPr>
    </w:p>
    <w:p>
      <w:pPr>
        <w:spacing w:before="60" w:after="60" w:line="276"/>
        <w:jc w:val="left"/>
      </w:pPr>
      <w:r>
        <w:rPr>
          <w:rFonts w:ascii="Helvetica" w:cs="Helvetica" w:eastAsia="Helvetica" w:hAnsi="Helvetica"/>
          <w:color w:val="67441A"/>
          <w:sz w:val="21"/>
          <w:szCs w:val="21"/>
        </w:rPr>
        <w:t xml:space="preserve">Right now, there’s a $14 trillion wealth gap in America, and the system is feeding it from both sides.</w:t>
      </w:r>
    </w:p>
    <w:p>
      <w:pPr>
        <w:spacing w:before="80" w:after="0"/>
      </w:pPr>
    </w:p>
    <w:p>
      <w:pPr>
        <w:spacing w:before="240" w:after="100"/>
      </w:pPr>
      <w:r>
        <w:rPr>
          <w:rFonts w:ascii="Arimo" w:cs="Arimo" w:eastAsia="Arimo" w:hAnsi="Arimo"/>
          <w:b/>
          <w:bCs/>
          <w:color w:val="67441A"/>
          <w:sz w:val="24"/>
          <w:szCs w:val="24"/>
        </w:rPr>
        <w:t xml:space="preserve">On the Founder Side</w:t>
      </w:r>
    </w:p>
    <w:p>
      <w:pPr>
        <w:pStyle w:val="ListParagraph"/>
        <w:numPr>
          <w:ilvl w:val="0"/>
          <w:numId w:val="2"/>
        </w:numPr>
        <w:spacing w:before="40" w:after="40" w:line="276"/>
      </w:pPr>
      <w:r>
        <w:rPr>
          <w:rFonts w:ascii="Helvetica" w:cs="Helvetica" w:eastAsia="Helvetica" w:hAnsi="Helvetica"/>
          <w:color w:val="67441A"/>
          <w:sz w:val="21"/>
          <w:szCs w:val="21"/>
        </w:rPr>
        <w:t xml:space="preserve">5.5 million businesses start every year in the U.S.</w:t>
      </w:r>
    </w:p>
    <w:p>
      <w:pPr>
        <w:pStyle w:val="ListParagraph"/>
        <w:numPr>
          <w:ilvl w:val="0"/>
          <w:numId w:val="2"/>
        </w:numPr>
        <w:spacing w:before="40" w:after="40" w:line="276"/>
      </w:pPr>
      <w:r>
        <w:rPr>
          <w:rFonts w:ascii="Helvetica" w:cs="Helvetica" w:eastAsia="Helvetica" w:hAnsi="Helvetica"/>
          <w:color w:val="67441A"/>
          <w:sz w:val="21"/>
          <w:szCs w:val="21"/>
        </w:rPr>
        <w:t xml:space="preserve">Fewer than 3% ever receive venture funding</w:t>
      </w:r>
    </w:p>
    <w:p>
      <w:pPr>
        <w:pStyle w:val="ListParagraph"/>
        <w:numPr>
          <w:ilvl w:val="0"/>
          <w:numId w:val="2"/>
        </w:numPr>
        <w:spacing w:before="40" w:after="40" w:line="276"/>
      </w:pPr>
      <w:r>
        <w:rPr>
          <w:rFonts w:ascii="Helvetica" w:cs="Helvetica" w:eastAsia="Helvetica" w:hAnsi="Helvetica"/>
          <w:color w:val="67441A"/>
          <w:sz w:val="21"/>
          <w:szCs w:val="21"/>
        </w:rPr>
        <w:t xml:space="preserve">Women and people of color receive less than 2% of VC dollars annually, despite founding nearly half of all new businesses</w:t>
      </w:r>
    </w:p>
    <w:p>
      <w:pPr>
        <w:pStyle w:val="ListParagraph"/>
        <w:numPr>
          <w:ilvl w:val="0"/>
          <w:numId w:val="2"/>
        </w:numPr>
        <w:spacing w:before="40" w:after="40" w:line="276"/>
      </w:pPr>
      <w:r>
        <w:rPr>
          <w:rFonts w:ascii="Helvetica" w:cs="Helvetica" w:eastAsia="Helvetica" w:hAnsi="Helvetica"/>
          <w:color w:val="67441A"/>
          <w:sz w:val="21"/>
          <w:szCs w:val="21"/>
        </w:rPr>
        <w:t xml:space="preserve">Over 5 million businesses start annually but lack pathways to institutional capital</w:t>
      </w:r>
    </w:p>
    <w:p>
      <w:pPr>
        <w:spacing w:before="80" w:after="0"/>
      </w:pPr>
    </w:p>
    <w:p>
      <w:pPr>
        <w:spacing w:before="240" w:after="100"/>
      </w:pPr>
      <w:r>
        <w:rPr>
          <w:rFonts w:ascii="Arimo" w:cs="Arimo" w:eastAsia="Arimo" w:hAnsi="Arimo"/>
          <w:b/>
          <w:bCs/>
          <w:color w:val="67441A"/>
          <w:sz w:val="24"/>
          <w:szCs w:val="24"/>
        </w:rPr>
        <w:t xml:space="preserve">On the Investor Side</w:t>
      </w:r>
    </w:p>
    <w:p>
      <w:pPr>
        <w:pStyle w:val="ListParagraph"/>
        <w:numPr>
          <w:ilvl w:val="0"/>
          <w:numId w:val="2"/>
        </w:numPr>
        <w:spacing w:before="40" w:after="40" w:line="276"/>
      </w:pPr>
      <w:r>
        <w:rPr>
          <w:rFonts w:ascii="Helvetica" w:cs="Helvetica" w:eastAsia="Helvetica" w:hAnsi="Helvetica"/>
          <w:color w:val="67441A"/>
          <w:sz w:val="21"/>
          <w:szCs w:val="21"/>
        </w:rPr>
        <w:t xml:space="preserve">49 million Americans are legally eligible to invest in private companies</w:t>
      </w:r>
    </w:p>
    <w:p>
      <w:pPr>
        <w:pStyle w:val="ListParagraph"/>
        <w:numPr>
          <w:ilvl w:val="0"/>
          <w:numId w:val="2"/>
        </w:numPr>
        <w:spacing w:before="40" w:after="40" w:line="276"/>
      </w:pPr>
      <w:r>
        <w:rPr>
          <w:rFonts w:ascii="Helvetica" w:cs="Helvetica" w:eastAsia="Helvetica" w:hAnsi="Helvetica"/>
          <w:color w:val="67441A"/>
          <w:sz w:val="21"/>
          <w:szCs w:val="21"/>
        </w:rPr>
        <w:t xml:space="preserve">Yet fewer than 2% actually do</w:t>
      </w:r>
    </w:p>
    <w:p>
      <w:pPr>
        <w:pStyle w:val="ListParagraph"/>
        <w:numPr>
          <w:ilvl w:val="0"/>
          <w:numId w:val="2"/>
        </w:numPr>
        <w:spacing w:before="40" w:after="40" w:line="276"/>
      </w:pPr>
      <w:r>
        <w:rPr>
          <w:rFonts w:ascii="Helvetica" w:cs="Helvetica" w:eastAsia="Helvetica" w:hAnsi="Helvetica"/>
          <w:color w:val="67441A"/>
          <w:sz w:val="21"/>
          <w:szCs w:val="21"/>
        </w:rPr>
        <w:t xml:space="preserve">They’re locked out of the fastest-growing asset class—private markets that now exceed public markets by trillions</w:t>
      </w:r>
    </w:p>
    <w:p>
      <w:pPr>
        <w:pStyle w:val="ListParagraph"/>
        <w:numPr>
          <w:ilvl w:val="0"/>
          <w:numId w:val="2"/>
        </w:numPr>
        <w:spacing w:before="40" w:after="40" w:line="276"/>
      </w:pPr>
      <w:r>
        <w:rPr>
          <w:rFonts w:ascii="Helvetica" w:cs="Helvetica" w:eastAsia="Helvetica" w:hAnsi="Helvetica"/>
          <w:color w:val="67441A"/>
          <w:sz w:val="21"/>
          <w:szCs w:val="21"/>
        </w:rPr>
        <w:t xml:space="preserve">Lack of education and access prevents potential funders from building wealth through private investments</w:t>
      </w:r>
    </w:p>
    <w:p>
      <w:pPr>
        <w:spacing w:before="80" w:after="0"/>
      </w:pPr>
    </w:p>
    <w:p>
      <w:pPr>
        <w:spacing w:before="240" w:after="100"/>
      </w:pPr>
      <w:r>
        <w:rPr>
          <w:rFonts w:ascii="Arimo" w:cs="Arimo" w:eastAsia="Arimo" w:hAnsi="Arimo"/>
          <w:b/>
          <w:bCs/>
          <w:color w:val="67441A"/>
          <w:sz w:val="24"/>
          <w:szCs w:val="24"/>
        </w:rPr>
        <w:t xml:space="preserve">The Market Disconnect</w:t>
      </w:r>
    </w:p>
    <w:p>
      <w:pPr>
        <w:spacing w:before="60" w:after="60" w:line="276"/>
        <w:jc w:val="left"/>
      </w:pPr>
      <w:r>
        <w:rPr>
          <w:rFonts w:ascii="Helvetica" w:cs="Helvetica" w:eastAsia="Helvetica" w:hAnsi="Helvetica"/>
          <w:color w:val="67441A"/>
          <w:sz w:val="21"/>
          <w:szCs w:val="21"/>
        </w:rPr>
        <w:t xml:space="preserve">From 1997 to 2024, total private companies in the U.S. rose 67% to 35 million while publicly listed companies declined 55% to just 4,000. IPOs are down 80% since 2021 and companies’ average time to IPO has doubled since the 1990s. Private equity AUM hit a record $10.6 trillion at the start of 2026—yet the wealth generated in these markets flows almost exclusively to institutional investors and high-net-worth individuals.</w:t>
      </w:r>
    </w:p>
    <w:p>
      <w:pPr>
        <w:spacing w:before="60" w:after="60" w:line="276"/>
        <w:jc w:val="left"/>
      </w:pPr>
      <w:r>
        <w:rPr>
          <w:rFonts w:ascii="Helvetica" w:cs="Helvetica" w:eastAsia="Helvetica" w:hAnsi="Helvetica"/>
          <w:color w:val="67441A"/>
          <w:sz w:val="21"/>
          <w:szCs w:val="21"/>
        </w:rPr>
        <w:t xml:space="preserve">This dynamic directly fuels the $14 trillion racial wealth gap, powered by exclusion on both sides: founders who need capital and community members who want to build wealth are simultaneously shut out. Communities are excluded from the very wealth they help create.</w:t>
      </w:r>
    </w:p>
    <w:p>
      <w:r>
        <w:br w:type="page"/>
      </w:r>
    </w:p>
    <w:p>
      <w:pPr>
        <w:spacing w:before="360" w:after="60"/>
      </w:pPr>
      <w:r>
        <w:rPr>
          <w:rFonts w:ascii="Arimo" w:cs="Arimo" w:eastAsia="Arimo" w:hAnsi="Arimo"/>
          <w:b/>
          <w:bCs/>
          <w:color w:val="1B3533"/>
          <w:sz w:val="28"/>
          <w:szCs w:val="28"/>
        </w:rPr>
        <w:t xml:space="preserve">THE PRIVATE MARKETS REVOLUTION</w:t>
      </w:r>
    </w:p>
    <w:p>
      <w:pPr>
        <w:pBdr>
          <w:bottom w:val="single" w:color="D57028" w:sz="4" w:space="8"/>
        </w:pBdr>
        <w:spacing w:before="200" w:after="200"/>
      </w:pPr>
    </w:p>
    <w:p>
      <w:pPr>
        <w:spacing w:before="60" w:after="60" w:line="276"/>
        <w:jc w:val="left"/>
      </w:pPr>
      <w:r>
        <w:rPr>
          <w:rFonts w:ascii="Helvetica" w:cs="Helvetica" w:eastAsia="Helvetica" w:hAnsi="Helvetica"/>
          <w:color w:val="67441A"/>
          <w:sz w:val="21"/>
          <w:szCs w:val="21"/>
        </w:rPr>
        <w:t xml:space="preserve">The infrastructure of wealth creation is undergoing its most significant transformation in decades. Private markets are no longer the exclusive domain of institutional investors—they are rapidly opening to individuals, and the data makes the scale of this shift unmistakable.</w:t>
      </w:r>
    </w:p>
    <w:p>
      <w:pPr>
        <w:spacing w:before="80" w:after="0"/>
      </w:pPr>
    </w:p>
    <w:p>
      <w:pPr>
        <w:spacing w:before="240" w:after="100"/>
      </w:pPr>
      <w:r>
        <w:rPr>
          <w:rFonts w:ascii="Arimo" w:cs="Arimo" w:eastAsia="Arimo" w:hAnsi="Arimo"/>
          <w:b/>
          <w:bCs/>
          <w:color w:val="67441A"/>
          <w:sz w:val="24"/>
          <w:szCs w:val="24"/>
        </w:rPr>
        <w:t xml:space="preserve">A $14.9 Trillion Asset Class, Growing Fast</w:t>
      </w:r>
    </w:p>
    <w:p>
      <w:pPr>
        <w:spacing w:before="60" w:after="60" w:line="276"/>
        <w:jc w:val="left"/>
      </w:pPr>
      <w:r>
        <w:rPr>
          <w:rFonts w:ascii="Helvetica" w:cs="Helvetica" w:eastAsia="Helvetica" w:hAnsi="Helvetica"/>
          <w:color w:val="67441A"/>
          <w:sz w:val="21"/>
          <w:szCs w:val="21"/>
        </w:rPr>
        <w:t xml:space="preserve">According to McKinsey’s Global Private Markets Report 2025, private markets AUM reached a record $14.9 trillion at year-end 2024, up 15.4% year-over-year—the highest annual growth rate since 2021. Private equity fund values alone hit $10.6 trillion entering 2026 (Bain Global Private Equity Report 2026). McKinsey projects the broader market will exceed $23.9 trillion by 2030, while Morgan Stanley estimates it could surpass $30 trillion within five years.</w:t>
      </w:r>
    </w:p>
    <w:p>
      <w:pPr>
        <w:spacing w:before="60" w:after="60" w:line="276"/>
        <w:jc w:val="left"/>
      </w:pPr>
      <w:r>
        <w:rPr>
          <w:rFonts w:ascii="Helvetica" w:cs="Helvetica" w:eastAsia="Helvetica" w:hAnsi="Helvetica"/>
          <w:color w:val="67441A"/>
          <w:sz w:val="21"/>
          <w:szCs w:val="21"/>
        </w:rPr>
        <w:t xml:space="preserve">As Larry Fink, CEO of BlackRock (the world’s largest asset manager), stated in his 2025 Annual Letter to Investors: the traditional 60/40 portfolio is giving way to a 50/30/20 model—with 20% allocated to private assets. BlackRock is backing this conviction by launching a 401(k) target-date fund with 5–20% private allocation in early 2026.</w:t>
      </w:r>
    </w:p>
    <w:p>
      <w:pPr>
        <w:spacing w:before="80" w:after="0"/>
      </w:pPr>
    </w:p>
    <w:p>
      <w:pPr>
        <w:spacing w:before="240" w:after="100"/>
      </w:pPr>
      <w:r>
        <w:rPr>
          <w:rFonts w:ascii="Arimo" w:cs="Arimo" w:eastAsia="Arimo" w:hAnsi="Arimo"/>
          <w:b/>
          <w:bCs/>
          <w:color w:val="67441A"/>
          <w:sz w:val="24"/>
          <w:szCs w:val="24"/>
        </w:rPr>
        <w:t xml:space="preserve">The Democratization Wave</w:t>
      </w:r>
    </w:p>
    <w:p>
      <w:pPr>
        <w:spacing w:before="60" w:after="60" w:line="276"/>
        <w:jc w:val="left"/>
      </w:pPr>
      <w:r>
        <w:rPr>
          <w:rFonts w:ascii="Helvetica" w:cs="Helvetica" w:eastAsia="Helvetica" w:hAnsi="Helvetica"/>
          <w:color w:val="67441A"/>
          <w:sz w:val="21"/>
          <w:szCs w:val="21"/>
        </w:rPr>
        <w:t xml:space="preserve">Bain’s analysis captures the opportunity in two numbers: individual investors hold roughly 50% of the estimated $275–$295 trillion in global AUM, yet those same investors represent just 16% of alternative fund AUM. That gap is closing fast.</w:t>
      </w:r>
    </w:p>
    <w:p>
      <w:pPr>
        <w:pStyle w:val="ListParagraph"/>
        <w:numPr>
          <w:ilvl w:val="0"/>
          <w:numId w:val="2"/>
        </w:numPr>
        <w:spacing w:before="40" w:after="40" w:line="276"/>
      </w:pPr>
      <w:r>
        <w:rPr>
          <w:rFonts w:ascii="Helvetica" w:cs="Helvetica" w:eastAsia="Helvetica" w:hAnsi="Helvetica"/>
          <w:color w:val="67441A"/>
          <w:sz w:val="21"/>
          <w:szCs w:val="21"/>
        </w:rPr>
        <w:t xml:space="preserve">McKinsey reports that non-traditional capital vehicles (insurance, SMAs, evergreen funds) now represent ~35% of global AUM ($7–8 trillion) and are growing 18–20% annually</w:t>
      </w:r>
    </w:p>
    <w:p>
      <w:pPr>
        <w:pStyle w:val="ListParagraph"/>
        <w:numPr>
          <w:ilvl w:val="0"/>
          <w:numId w:val="2"/>
        </w:numPr>
        <w:spacing w:before="40" w:after="40" w:line="276"/>
      </w:pPr>
      <w:r>
        <w:rPr>
          <w:rFonts w:ascii="Helvetica" w:cs="Helvetica" w:eastAsia="Helvetica" w:hAnsi="Helvetica"/>
          <w:color w:val="67441A"/>
          <w:sz w:val="21"/>
          <w:szCs w:val="21"/>
        </w:rPr>
        <w:t xml:space="preserve">Evergreen (perpetual-life) funds reached $427 billion in AUM by end of 2024, growing ~20% annually toward a projected $1 trillion by 2029 (McKinsey)</w:t>
      </w:r>
    </w:p>
    <w:p>
      <w:pPr>
        <w:pStyle w:val="ListParagraph"/>
        <w:numPr>
          <w:ilvl w:val="0"/>
          <w:numId w:val="2"/>
        </w:numPr>
        <w:spacing w:before="40" w:after="40" w:line="276"/>
      </w:pPr>
      <w:r>
        <w:rPr>
          <w:rFonts w:ascii="Helvetica" w:cs="Helvetica" w:eastAsia="Helvetica" w:hAnsi="Helvetica"/>
          <w:color w:val="67441A"/>
          <w:sz w:val="21"/>
          <w:szCs w:val="21"/>
        </w:rPr>
        <w:t xml:space="preserve">In McKinsey’s survey of 1,300+ U.S. financial advisors, 42% of RIAs expect more than 25% of their clients will be invested in private market alternatives by 2030</w:t>
      </w:r>
    </w:p>
    <w:p>
      <w:pPr>
        <w:pStyle w:val="ListParagraph"/>
        <w:numPr>
          <w:ilvl w:val="0"/>
          <w:numId w:val="2"/>
        </w:numPr>
        <w:spacing w:before="40" w:after="40" w:line="276"/>
      </w:pPr>
      <w:r>
        <w:rPr>
          <w:rFonts w:ascii="Helvetica" w:cs="Helvetica" w:eastAsia="Helvetica" w:hAnsi="Helvetica"/>
          <w:color w:val="67441A"/>
          <w:sz w:val="21"/>
          <w:szCs w:val="21"/>
        </w:rPr>
        <w:t xml:space="preserve">Bain estimates that private wealth and sovereign wealth funds will together account for ~60% of growth in alternative AUM over the next decade</w:t>
      </w:r>
    </w:p>
    <w:p>
      <w:pPr>
        <w:spacing w:before="80" w:after="0"/>
      </w:pPr>
    </w:p>
    <w:p>
      <w:pPr>
        <w:spacing w:before="240" w:after="100"/>
      </w:pPr>
      <w:r>
        <w:rPr>
          <w:rFonts w:ascii="Arimo" w:cs="Arimo" w:eastAsia="Arimo" w:hAnsi="Arimo"/>
          <w:b/>
          <w:bCs/>
          <w:color w:val="67441A"/>
          <w:sz w:val="24"/>
          <w:szCs w:val="24"/>
        </w:rPr>
        <w:t xml:space="preserve">The Industry Is Scrambling to Serve This Market</w:t>
      </w:r>
    </w:p>
    <w:p>
      <w:pPr>
        <w:spacing w:before="60" w:after="60" w:line="276"/>
        <w:jc w:val="left"/>
      </w:pPr>
      <w:r>
        <w:rPr>
          <w:rFonts w:ascii="Helvetica" w:cs="Helvetica" w:eastAsia="Helvetica" w:hAnsi="Helvetica"/>
          <w:color w:val="67441A"/>
          <w:sz w:val="21"/>
          <w:szCs w:val="21"/>
        </w:rPr>
        <w:t xml:space="preserve">Traditional wealth managers like Vanguard, Franklin Templeton, and Capital Group are racing to create alternative access for retail clients. Meanwhile, alternatives giants—Blackstone, KKR, Apollo, StepStone, Hamilton Lane—are building products specifically designed for individual investors (Bain, 2026). Empower and Apollo are partnering to bring private assets into retirement accounts.</w:t>
      </w:r>
    </w:p>
    <w:p>
      <w:pPr>
        <w:spacing w:before="60" w:after="60" w:line="276"/>
        <w:jc w:val="left"/>
      </w:pPr>
      <w:r>
        <w:rPr>
          <w:rFonts w:ascii="Helvetica" w:cs="Helvetica" w:eastAsia="Helvetica" w:hAnsi="Helvetica"/>
          <w:color w:val="67441A"/>
          <w:sz w:val="21"/>
          <w:szCs w:val="21"/>
        </w:rPr>
        <w:t xml:space="preserve">But as Bain notes, serving retail investors requires fundamentally different capabilities than serving institutional LPs: periodic liquidity, more frequent valuations, heightened disclosure, retail-ready distribution, and—critically—investor education infrastructure. This is exactly what Sengo builds.</w:t>
      </w:r>
    </w:p>
    <w:p>
      <w:pPr>
        <w:spacing w:before="80" w:after="0"/>
      </w:pPr>
    </w:p>
    <w:p>
      <w:pPr>
        <w:spacing w:before="240" w:after="100"/>
      </w:pPr>
      <w:r>
        <w:rPr>
          <w:rFonts w:ascii="Arimo" w:cs="Arimo" w:eastAsia="Arimo" w:hAnsi="Arimo"/>
          <w:b/>
          <w:bCs/>
          <w:color w:val="67441A"/>
          <w:sz w:val="24"/>
          <w:szCs w:val="24"/>
        </w:rPr>
        <w:t xml:space="preserve">Investment Crowdfunding Is Surging</w:t>
      </w:r>
    </w:p>
    <w:p>
      <w:pPr>
        <w:spacing w:before="60" w:after="60" w:line="276"/>
        <w:jc w:val="left"/>
      </w:pPr>
      <w:r>
        <w:rPr>
          <w:rFonts w:ascii="Helvetica" w:cs="Helvetica" w:eastAsia="Helvetica" w:hAnsi="Helvetica"/>
          <w:color w:val="67441A"/>
          <w:sz w:val="21"/>
          <w:szCs w:val="21"/>
        </w:rPr>
        <w:t xml:space="preserve">Investment crowdfunding (Reg CF + Reg A+) surged 58% in 2025 to $924.8 million—its best year on record (KingsCrowd 2025 Annual Report). Reg A+ surged 124% to $546 million, while Reg CF grew 11% to $378 million despite 29% fewer new offerings—a clear signal that the market is shifting from quantity to quality, rewarding platforms that build founder readiness and investor trust.</w:t>
      </w:r>
    </w:p>
    <w:p>
      <w:pPr>
        <w:spacing w:before="60" w:after="60" w:line="276"/>
        <w:jc w:val="left"/>
      </w:pPr>
      <w:r>
        <w:rPr>
          <w:rFonts w:ascii="Helvetica" w:cs="Helvetica" w:eastAsia="Helvetica" w:hAnsi="Helvetica"/>
          <w:color w:val="67441A"/>
          <w:sz w:val="21"/>
          <w:szCs w:val="21"/>
        </w:rPr>
        <w:t xml:space="preserve">The SEC’s May 2025 DERA report found that since Reg CF’s launch, approximately 8,500 offerings have been initiated by ~7,000 issuers, raising $1.3 billion. But the average successful raise is just $346,000—far below the $5M cap—highlighting the gap in founder preparation and investor engagement that Sengo is purpose-built to fill.</w:t>
      </w:r>
    </w:p>
    <w:p>
      <w:pPr>
        <w:spacing w:before="80" w:after="0"/>
      </w:pPr>
    </w:p>
    <w:p>
      <w:pPr>
        <w:spacing w:before="240" w:after="100"/>
      </w:pPr>
      <w:r>
        <w:rPr>
          <w:rFonts w:ascii="Arimo" w:cs="Arimo" w:eastAsia="Arimo" w:hAnsi="Arimo"/>
          <w:b/>
          <w:bCs/>
          <w:color w:val="67441A"/>
          <w:sz w:val="24"/>
          <w:szCs w:val="24"/>
        </w:rPr>
        <w:t xml:space="preserve">The Regulatory Floodgates Are Opening</w:t>
      </w:r>
    </w:p>
    <w:p>
      <w:pPr>
        <w:pStyle w:val="ListParagraph"/>
        <w:numPr>
          <w:ilvl w:val="0"/>
          <w:numId w:val="2"/>
        </w:numPr>
        <w:spacing w:before="40" w:after="40" w:line="276"/>
      </w:pPr>
      <w:r>
        <w:rPr>
          <w:rFonts w:ascii="Helvetica" w:cs="Helvetica" w:eastAsia="Helvetica" w:hAnsi="Helvetica"/>
          <w:color w:val="67441A"/>
          <w:sz w:val="21"/>
          <w:szCs w:val="21"/>
        </w:rPr>
        <w:t xml:space="preserve">Executive Order on 401(k) Access (August 2025): Opened America’s $12.5 trillion defined-contribution market to alternative assets. The DOL immediately rescinded prior restrictive guidance.</w:t>
      </w:r>
    </w:p>
    <w:p>
      <w:pPr>
        <w:pStyle w:val="ListParagraph"/>
        <w:numPr>
          <w:ilvl w:val="0"/>
          <w:numId w:val="2"/>
        </w:numPr>
        <w:spacing w:before="40" w:after="40" w:line="276"/>
      </w:pPr>
      <w:r>
        <w:rPr>
          <w:rFonts w:ascii="Helvetica" w:cs="Helvetica" w:eastAsia="Helvetica" w:hAnsi="Helvetica"/>
          <w:color w:val="67441A"/>
          <w:sz w:val="21"/>
          <w:szCs w:val="21"/>
        </w:rPr>
        <w:t xml:space="preserve">Fair Investment Opportunities for Professional Experts Act: Passed the House 397–12, allowing individuals to qualify as accredited investors via professional licenses, education, or job experience—not just wealth. A companion bill would create an SEC exam pathway. Both pending in the Senate.</w:t>
      </w:r>
    </w:p>
    <w:p>
      <w:pPr>
        <w:pStyle w:val="ListParagraph"/>
        <w:numPr>
          <w:ilvl w:val="0"/>
          <w:numId w:val="2"/>
        </w:numPr>
        <w:spacing w:before="40" w:after="40" w:line="276"/>
      </w:pPr>
      <w:r>
        <w:rPr>
          <w:rFonts w:ascii="Helvetica" w:cs="Helvetica" w:eastAsia="Helvetica" w:hAnsi="Helvetica"/>
          <w:color w:val="67441A"/>
          <w:sz w:val="21"/>
          <w:szCs w:val="21"/>
        </w:rPr>
        <w:t xml:space="preserve">Pro-capital formation SEC: Commissioner Uyeda has called for further loosening of investor restrictions. Reform proposals to improve secondary-market liquidity for Reg A and Reg CF offerings are under active discussion.</w:t>
      </w:r>
    </w:p>
    <w:p>
      <w:pPr>
        <w:spacing w:before="80" w:after="0"/>
      </w:pPr>
    </w:p>
    <w:p>
      <w:pPr>
        <w:shd w:fill="F3EDE7" w:val="clear"/>
        <w:spacing w:before="80" w:after="80"/>
        <w:ind w:left="200" w:right="200"/>
      </w:pPr>
      <w:r>
        <w:rPr>
          <w:rFonts w:ascii="Helvetica" w:cs="Helvetica" w:eastAsia="Helvetica" w:hAnsi="Helvetica"/>
          <w:b/>
          <w:bCs/>
          <w:i/>
          <w:iCs/>
          <w:color w:val="1B3533"/>
          <w:sz w:val="21"/>
          <w:szCs w:val="21"/>
        </w:rPr>
        <w:t xml:space="preserve">The bottom line: Trillions of dollars in private market value are opening to everyday investors for the first time—but the infrastructure to educate, connect, and support them does not yet exist at scale. Sengo is building it.</w:t>
      </w:r>
    </w:p>
    <w:p>
      <w:pPr>
        <w:spacing w:before="60" w:after="0"/>
      </w:pPr>
    </w:p>
    <w:p>
      <w:pPr>
        <w:spacing w:before="180" w:after="80"/>
      </w:pPr>
      <w:r>
        <w:rPr>
          <w:rFonts w:ascii="Arimo" w:cs="Arimo" w:eastAsia="Arimo" w:hAnsi="Arimo"/>
          <w:b/>
          <w:bCs/>
          <w:color w:val="744D1F"/>
          <w:sz w:val="22"/>
          <w:szCs w:val="22"/>
        </w:rPr>
        <w:t xml:space="preserve">Sources</w:t>
      </w:r>
    </w:p>
    <w:p>
      <w:pPr>
        <w:spacing w:before="30" w:after="30"/>
      </w:pPr>
      <w:r>
        <w:rPr>
          <w:rFonts w:ascii="Helvetica" w:cs="Helvetica" w:eastAsia="Helvetica" w:hAnsi="Helvetica"/>
          <w:i/>
          <w:iCs/>
          <w:color w:val="744D1F"/>
          <w:sz w:val="18"/>
          <w:szCs w:val="18"/>
        </w:rPr>
        <w:t xml:space="preserve">McKinsey, Global Private Markets Report 2025: Braced for Shifting Weather</w:t>
      </w:r>
    </w:p>
    <w:p>
      <w:pPr>
        <w:spacing w:before="30" w:after="30"/>
      </w:pPr>
      <w:r>
        <w:rPr>
          <w:rFonts w:ascii="Helvetica" w:cs="Helvetica" w:eastAsia="Helvetica" w:hAnsi="Helvetica"/>
          <w:i/>
          <w:iCs/>
          <w:color w:val="744D1F"/>
          <w:sz w:val="18"/>
          <w:szCs w:val="18"/>
        </w:rPr>
        <w:t xml:space="preserve">Bain &amp; Company, Global Private Equity Report 2026: Welcome to a New Era</w:t>
      </w:r>
    </w:p>
    <w:p>
      <w:pPr>
        <w:spacing w:before="30" w:after="30"/>
      </w:pPr>
      <w:r>
        <w:rPr>
          <w:rFonts w:ascii="Helvetica" w:cs="Helvetica" w:eastAsia="Helvetica" w:hAnsi="Helvetica"/>
          <w:i/>
          <w:iCs/>
          <w:color w:val="744D1F"/>
          <w:sz w:val="18"/>
          <w:szCs w:val="18"/>
        </w:rPr>
        <w:t xml:space="preserve">KingsCrowd, 2025 Investment Crowdfunding Annual Report</w:t>
      </w:r>
    </w:p>
    <w:p>
      <w:pPr>
        <w:spacing w:before="30" w:after="30"/>
      </w:pPr>
      <w:r>
        <w:rPr>
          <w:rFonts w:ascii="Helvetica" w:cs="Helvetica" w:eastAsia="Helvetica" w:hAnsi="Helvetica"/>
          <w:i/>
          <w:iCs/>
          <w:color w:val="744D1F"/>
          <w:sz w:val="18"/>
          <w:szCs w:val="18"/>
        </w:rPr>
        <w:t xml:space="preserve">SEC Division of Economic and Risk Analysis (DERA), Reg A &amp; Reg CF Data Report (May 2025)</w:t>
      </w:r>
    </w:p>
    <w:p>
      <w:pPr>
        <w:spacing w:before="30" w:after="30"/>
      </w:pPr>
      <w:r>
        <w:rPr>
          <w:rFonts w:ascii="Helvetica" w:cs="Helvetica" w:eastAsia="Helvetica" w:hAnsi="Helvetica"/>
          <w:i/>
          <w:iCs/>
          <w:color w:val="744D1F"/>
          <w:sz w:val="18"/>
          <w:szCs w:val="18"/>
        </w:rPr>
        <w:t xml:space="preserve">Larry Fink, 2025 Annual Letter to Investors, BlackRock</w:t>
      </w:r>
    </w:p>
    <w:p>
      <w:pPr>
        <w:spacing w:before="30" w:after="30"/>
      </w:pPr>
      <w:r>
        <w:rPr>
          <w:rFonts w:ascii="Helvetica" w:cs="Helvetica" w:eastAsia="Helvetica" w:hAnsi="Helvetica"/>
          <w:i/>
          <w:iCs/>
          <w:color w:val="744D1F"/>
          <w:sz w:val="18"/>
          <w:szCs w:val="18"/>
        </w:rPr>
        <w:t xml:space="preserve">Morgan Stanley, Private Markets Outlook 2025</w:t>
      </w:r>
    </w:p>
    <w:p>
      <w:r>
        <w:br w:type="page"/>
      </w:r>
    </w:p>
    <w:p>
      <w:pPr>
        <w:spacing w:before="360" w:after="60"/>
      </w:pPr>
      <w:r>
        <w:rPr>
          <w:rFonts w:ascii="Arimo" w:cs="Arimo" w:eastAsia="Arimo" w:hAnsi="Arimo"/>
          <w:b/>
          <w:bCs/>
          <w:color w:val="1B3533"/>
          <w:sz w:val="28"/>
          <w:szCs w:val="28"/>
        </w:rPr>
        <w:t xml:space="preserve">THE SOLUTION</w:t>
      </w:r>
    </w:p>
    <w:p>
      <w:pPr>
        <w:pBdr>
          <w:bottom w:val="single" w:color="D57028" w:sz="4" w:space="8"/>
        </w:pBdr>
        <w:spacing w:before="200" w:after="200"/>
      </w:pPr>
    </w:p>
    <w:p>
      <w:pPr>
        <w:spacing w:before="60" w:after="60" w:line="276"/>
        <w:jc w:val="left"/>
      </w:pPr>
      <w:r>
        <w:rPr>
          <w:rFonts w:ascii="Helvetica" w:cs="Helvetica" w:eastAsia="Helvetica" w:hAnsi="Helvetica"/>
          <w:color w:val="67441A"/>
          <w:sz w:val="21"/>
          <w:szCs w:val="21"/>
        </w:rPr>
        <w:t xml:space="preserve">Sengo is an AI-powered SaaS platform reimagining fundraising and investing through education, community, and access. Our AI-enhanced tools—including a due diligence assistant for angel investors, a live dealflow feed, a fundraise readiness calculator, and an international capital pathways navigator—sit on top of the community infrastructure that makes them effective.</w:t>
      </w:r>
    </w:p>
    <w:p>
      <w:pPr>
        <w:spacing w:before="80" w:after="0"/>
      </w:pPr>
    </w:p>
    <w:p>
      <w:pPr>
        <w:spacing w:before="240" w:after="100"/>
      </w:pPr>
      <w:r>
        <w:rPr>
          <w:rFonts w:ascii="Arimo" w:cs="Arimo" w:eastAsia="Arimo" w:hAnsi="Arimo"/>
          <w:b/>
          <w:bCs/>
          <w:color w:val="67441A"/>
          <w:sz w:val="24"/>
          <w:szCs w:val="24"/>
        </w:rPr>
        <w:t xml:space="preserve">For Funders</w:t>
      </w:r>
    </w:p>
    <w:p>
      <w:pPr>
        <w:pStyle w:val="ListParagraph"/>
        <w:numPr>
          <w:ilvl w:val="0"/>
          <w:numId w:val="2"/>
        </w:numPr>
        <w:spacing w:before="40" w:after="40" w:line="276"/>
      </w:pPr>
      <w:r>
        <w:rPr>
          <w:rFonts w:ascii="Helvetica" w:cs="Helvetica" w:eastAsia="Helvetica" w:hAnsi="Helvetica"/>
          <w:color w:val="67441A"/>
          <w:sz w:val="21"/>
          <w:szCs w:val="21"/>
        </w:rPr>
        <w:t xml:space="preserve">AI-curated learning paths that prepare investors to confidently navigate private markets</w:t>
      </w:r>
    </w:p>
    <w:p>
      <w:pPr>
        <w:pStyle w:val="ListParagraph"/>
        <w:numPr>
          <w:ilvl w:val="0"/>
          <w:numId w:val="2"/>
        </w:numPr>
        <w:spacing w:before="40" w:after="40" w:line="276"/>
      </w:pPr>
      <w:r>
        <w:rPr>
          <w:rFonts w:ascii="Helvetica" w:cs="Helvetica" w:eastAsia="Helvetica" w:hAnsi="Helvetica"/>
          <w:color w:val="67441A"/>
          <w:sz w:val="21"/>
          <w:szCs w:val="21"/>
        </w:rPr>
        <w:t xml:space="preserve">AI-powered due diligence tool that helps angels evaluate deals faster and more consistently</w:t>
      </w:r>
    </w:p>
    <w:p>
      <w:pPr>
        <w:pStyle w:val="ListParagraph"/>
        <w:numPr>
          <w:ilvl w:val="0"/>
          <w:numId w:val="2"/>
        </w:numPr>
        <w:spacing w:before="40" w:after="40" w:line="276"/>
      </w:pPr>
      <w:r>
        <w:rPr>
          <w:rFonts w:ascii="Helvetica" w:cs="Helvetica" w:eastAsia="Helvetica" w:hAnsi="Helvetica"/>
          <w:color w:val="67441A"/>
          <w:sz w:val="21"/>
          <w:szCs w:val="21"/>
        </w:rPr>
        <w:t xml:space="preserve">Live dealflow feed connecting investors with vetted, community-backed opportunities</w:t>
      </w:r>
    </w:p>
    <w:p>
      <w:pPr>
        <w:pStyle w:val="ListParagraph"/>
        <w:numPr>
          <w:ilvl w:val="0"/>
          <w:numId w:val="2"/>
        </w:numPr>
        <w:spacing w:before="40" w:after="40" w:line="276"/>
      </w:pPr>
      <w:r>
        <w:rPr>
          <w:rFonts w:ascii="Helvetica" w:cs="Helvetica" w:eastAsia="Helvetica" w:hAnsi="Helvetica"/>
          <w:color w:val="67441A"/>
          <w:sz w:val="21"/>
          <w:szCs w:val="21"/>
        </w:rPr>
        <w:t xml:space="preserve">Access to transparent investment pathways in companies aligned with their values</w:t>
      </w:r>
    </w:p>
    <w:p>
      <w:pPr>
        <w:spacing w:before="80" w:after="0"/>
      </w:pPr>
    </w:p>
    <w:p>
      <w:pPr>
        <w:spacing w:before="240" w:after="100"/>
      </w:pPr>
      <w:r>
        <w:rPr>
          <w:rFonts w:ascii="Arimo" w:cs="Arimo" w:eastAsia="Arimo" w:hAnsi="Arimo"/>
          <w:b/>
          <w:bCs/>
          <w:color w:val="67441A"/>
          <w:sz w:val="24"/>
          <w:szCs w:val="24"/>
        </w:rPr>
        <w:t xml:space="preserve">For Founders</w:t>
      </w:r>
    </w:p>
    <w:p>
      <w:pPr>
        <w:pStyle w:val="ListParagraph"/>
        <w:numPr>
          <w:ilvl w:val="0"/>
          <w:numId w:val="2"/>
        </w:numPr>
        <w:spacing w:before="40" w:after="40" w:line="276"/>
      </w:pPr>
      <w:r>
        <w:rPr>
          <w:rFonts w:ascii="Helvetica" w:cs="Helvetica" w:eastAsia="Helvetica" w:hAnsi="Helvetica"/>
          <w:color w:val="67441A"/>
          <w:sz w:val="21"/>
          <w:szCs w:val="21"/>
        </w:rPr>
        <w:t xml:space="preserve">AI-assisted coaching programs that prepare founders to raise capital successfully</w:t>
      </w:r>
    </w:p>
    <w:p>
      <w:pPr>
        <w:pStyle w:val="ListParagraph"/>
        <w:numPr>
          <w:ilvl w:val="0"/>
          <w:numId w:val="2"/>
        </w:numPr>
        <w:spacing w:before="40" w:after="40" w:line="276"/>
      </w:pPr>
      <w:r>
        <w:rPr>
          <w:rFonts w:ascii="Helvetica" w:cs="Helvetica" w:eastAsia="Helvetica" w:hAnsi="Helvetica"/>
          <w:color w:val="67441A"/>
          <w:sz w:val="21"/>
          <w:szCs w:val="21"/>
        </w:rPr>
        <w:t xml:space="preserve">Fundraise readiness calculator that scores and benchmarks founder preparedness</w:t>
      </w:r>
    </w:p>
    <w:p>
      <w:pPr>
        <w:pStyle w:val="ListParagraph"/>
        <w:numPr>
          <w:ilvl w:val="0"/>
          <w:numId w:val="2"/>
        </w:numPr>
        <w:spacing w:before="40" w:after="40" w:line="276"/>
      </w:pPr>
      <w:r>
        <w:rPr>
          <w:rFonts w:ascii="Helvetica" w:cs="Helvetica" w:eastAsia="Helvetica" w:hAnsi="Helvetica"/>
          <w:color w:val="67441A"/>
          <w:sz w:val="21"/>
          <w:szCs w:val="21"/>
        </w:rPr>
        <w:t xml:space="preserve">International capital pathways navigator for cross-border fundraising opportunities</w:t>
      </w:r>
    </w:p>
    <w:p>
      <w:pPr>
        <w:pStyle w:val="ListParagraph"/>
        <w:numPr>
          <w:ilvl w:val="0"/>
          <w:numId w:val="2"/>
        </w:numPr>
        <w:spacing w:before="40" w:after="40" w:line="276"/>
      </w:pPr>
      <w:r>
        <w:rPr>
          <w:rFonts w:ascii="Helvetica" w:cs="Helvetica" w:eastAsia="Helvetica" w:hAnsi="Helvetica"/>
          <w:color w:val="67441A"/>
          <w:sz w:val="21"/>
          <w:szCs w:val="21"/>
        </w:rPr>
        <w:t xml:space="preserve">Access to a highly-engaged community of aligned funders, with digital and IRL opportunities to connect</w:t>
      </w:r>
    </w:p>
    <w:p>
      <w:pPr>
        <w:spacing w:before="80" w:after="0"/>
      </w:pPr>
    </w:p>
    <w:p>
      <w:pPr>
        <w:spacing w:before="240" w:after="100"/>
      </w:pPr>
      <w:r>
        <w:rPr>
          <w:rFonts w:ascii="Arimo" w:cs="Arimo" w:eastAsia="Arimo" w:hAnsi="Arimo"/>
          <w:b/>
          <w:bCs/>
          <w:color w:val="67441A"/>
          <w:sz w:val="24"/>
          <w:szCs w:val="24"/>
        </w:rPr>
        <w:t xml:space="preserve">For the Community</w:t>
      </w:r>
    </w:p>
    <w:p>
      <w:pPr>
        <w:pStyle w:val="ListParagraph"/>
        <w:numPr>
          <w:ilvl w:val="0"/>
          <w:numId w:val="2"/>
        </w:numPr>
        <w:spacing w:before="40" w:after="40" w:line="276"/>
      </w:pPr>
      <w:r>
        <w:rPr>
          <w:rFonts w:ascii="Helvetica" w:cs="Helvetica" w:eastAsia="Helvetica" w:hAnsi="Helvetica"/>
          <w:color w:val="67441A"/>
          <w:sz w:val="21"/>
          <w:szCs w:val="21"/>
        </w:rPr>
        <w:t xml:space="preserve">Digital hub where members can post, chat, share resources, and learn together</w:t>
      </w:r>
    </w:p>
    <w:p>
      <w:pPr>
        <w:pStyle w:val="ListParagraph"/>
        <w:numPr>
          <w:ilvl w:val="0"/>
          <w:numId w:val="2"/>
        </w:numPr>
        <w:spacing w:before="40" w:after="40" w:line="276"/>
      </w:pPr>
      <w:r>
        <w:rPr>
          <w:rFonts w:ascii="Helvetica" w:cs="Helvetica" w:eastAsia="Helvetica" w:hAnsi="Helvetica"/>
          <w:color w:val="67441A"/>
          <w:sz w:val="21"/>
          <w:szCs w:val="21"/>
        </w:rPr>
        <w:t xml:space="preserve">Curated events that blend culture and capital—from Fashion x Futures pop-ups to global retreats</w:t>
      </w:r>
    </w:p>
    <w:p>
      <w:pPr>
        <w:pStyle w:val="ListParagraph"/>
        <w:numPr>
          <w:ilvl w:val="0"/>
          <w:numId w:val="2"/>
        </w:numPr>
        <w:spacing w:before="40" w:after="40" w:line="276"/>
      </w:pPr>
      <w:r>
        <w:rPr>
          <w:rFonts w:ascii="Helvetica" w:cs="Helvetica" w:eastAsia="Helvetica" w:hAnsi="Helvetica"/>
          <w:color w:val="67441A"/>
          <w:sz w:val="21"/>
          <w:szCs w:val="21"/>
        </w:rPr>
        <w:t xml:space="preserve">Social learning experiences that turn passive supporters into active participants in wealth creation</w:t>
      </w:r>
    </w:p>
    <w:p>
      <w:pPr>
        <w:spacing w:before="120" w:after="0"/>
      </w:pPr>
    </w:p>
    <w:p>
      <w:pPr>
        <w:spacing w:before="240" w:after="100"/>
      </w:pPr>
      <w:r>
        <w:rPr>
          <w:rFonts w:ascii="Arimo" w:cs="Arimo" w:eastAsia="Arimo" w:hAnsi="Arimo"/>
          <w:b/>
          <w:bCs/>
          <w:color w:val="67441A"/>
          <w:sz w:val="24"/>
          <w:szCs w:val="24"/>
        </w:rPr>
        <w:t xml:space="preserve">Our Community-Driven Approach</w:t>
      </w:r>
    </w:p>
    <w:p>
      <w:pPr>
        <w:spacing w:before="60" w:after="60" w:line="276"/>
        <w:jc w:val="left"/>
      </w:pPr>
      <w:r>
        <w:rPr>
          <w:rFonts w:ascii="Helvetica" w:cs="Helvetica" w:eastAsia="Helvetica" w:hAnsi="Helvetica"/>
          <w:color w:val="67441A"/>
          <w:sz w:val="21"/>
          <w:szCs w:val="21"/>
        </w:rPr>
        <w:t xml:space="preserve">We’ve built and refined Sengo alongside our community. Early events like Fashion X Futures: Funding The Art of Fashion and The Village (our founder/funder retreat) showed us that people want practical education and clear next steps. Founders asked for more resources to prepare for raising capital, while funders asked for tools to better understand private markets. In response, we added webinars on topics like crowdfunding and private markets, a startup resource library, and pathways to investment opportunities.</w:t>
      </w:r>
    </w:p>
    <w:p>
      <w:pPr>
        <w:spacing w:before="60" w:after="60" w:line="276"/>
        <w:jc w:val="left"/>
      </w:pPr>
      <w:r>
        <w:rPr>
          <w:rFonts w:ascii="Helvetica" w:cs="Helvetica" w:eastAsia="Helvetica" w:hAnsi="Helvetica"/>
          <w:color w:val="67441A"/>
          <w:sz w:val="21"/>
          <w:szCs w:val="21"/>
        </w:rPr>
        <w:t xml:space="preserve">This constant feedback loop has shaped Sengo into a digital hub where education builds trust, community creates belonging, and both together generate impact and deal flow.</w:t>
      </w:r>
    </w:p>
    <w:p>
      <w:pPr>
        <w:spacing w:before="60" w:after="60" w:line="276"/>
        <w:jc w:val="left"/>
      </w:pPr>
      <w:r>
        <w:rPr>
          <w:rFonts w:ascii="Helvetica" w:cs="Helvetica" w:eastAsia="Helvetica" w:hAnsi="Helvetica"/>
          <w:color w:val="67441A"/>
          <w:sz w:val="21"/>
          <w:szCs w:val="21"/>
        </w:rPr>
        <w:t xml:space="preserve">When founders are fully supported and funders have transparent, inclusive ways to invest, businesses create jobs, strengthen communities, and generate wealth that transforms families for generations.</w:t>
      </w:r>
    </w:p>
    <w:p>
      <w:r>
        <w:br w:type="page"/>
      </w:r>
    </w:p>
    <w:p>
      <w:pPr>
        <w:spacing w:before="360" w:after="60"/>
      </w:pPr>
      <w:r>
        <w:rPr>
          <w:rFonts w:ascii="Arimo" w:cs="Arimo" w:eastAsia="Arimo" w:hAnsi="Arimo"/>
          <w:b/>
          <w:bCs/>
          <w:color w:val="1B3533"/>
          <w:sz w:val="28"/>
          <w:szCs w:val="28"/>
        </w:rPr>
        <w:t xml:space="preserve">MISSION &amp; VISION</w:t>
      </w:r>
    </w:p>
    <w:p>
      <w:pPr>
        <w:pBdr>
          <w:bottom w:val="single" w:color="D57028" w:sz="4" w:space="8"/>
        </w:pBdr>
        <w:spacing w:before="200" w:after="200"/>
      </w:pPr>
    </w:p>
    <w:p>
      <w:pPr>
        <w:spacing w:before="240" w:after="100"/>
      </w:pPr>
      <w:r>
        <w:rPr>
          <w:rFonts w:ascii="Arimo" w:cs="Arimo" w:eastAsia="Arimo" w:hAnsi="Arimo"/>
          <w:b/>
          <w:bCs/>
          <w:color w:val="67441A"/>
          <w:sz w:val="24"/>
          <w:szCs w:val="24"/>
        </w:rPr>
        <w:t xml:space="preserve">Mission</w:t>
      </w:r>
    </w:p>
    <w:p>
      <w:pPr>
        <w:spacing w:before="60" w:after="60" w:line="276"/>
        <w:jc w:val="left"/>
      </w:pPr>
      <w:r>
        <w:rPr>
          <w:rFonts w:ascii="Helvetica" w:cs="Helvetica" w:eastAsia="Helvetica" w:hAnsi="Helvetica"/>
          <w:color w:val="67441A"/>
          <w:sz w:val="21"/>
          <w:szCs w:val="21"/>
        </w:rPr>
        <w:t xml:space="preserve">Sengo is reimagining fundraising and investing through AI-powered education, community, and access.</w:t>
      </w:r>
    </w:p>
    <w:p>
      <w:pPr>
        <w:spacing w:before="80" w:after="0"/>
      </w:pPr>
    </w:p>
    <w:p>
      <w:pPr>
        <w:spacing w:before="240" w:after="100"/>
      </w:pPr>
      <w:r>
        <w:rPr>
          <w:rFonts w:ascii="Arimo" w:cs="Arimo" w:eastAsia="Arimo" w:hAnsi="Arimo"/>
          <w:b/>
          <w:bCs/>
          <w:color w:val="67441A"/>
          <w:sz w:val="24"/>
          <w:szCs w:val="24"/>
        </w:rPr>
        <w:t xml:space="preserve">Vision</w:t>
      </w:r>
    </w:p>
    <w:p>
      <w:pPr>
        <w:spacing w:before="60" w:after="120" w:line="276"/>
      </w:pPr>
      <w:r>
        <w:rPr>
          <w:rFonts w:ascii="Helvetica" w:cs="Helvetica" w:eastAsia="Helvetica" w:hAnsi="Helvetica"/>
          <w:i/>
          <w:iCs/>
          <w:color w:val="1B3533"/>
          <w:sz w:val="22"/>
          <w:szCs w:val="22"/>
        </w:rPr>
        <w:t xml:space="preserve">A world where capital flows as freely as community—where every founder has the resources to build, every funder has transparent ways to invest, and every community can share in the wealth created.</w:t>
      </w:r>
    </w:p>
    <w:p>
      <w:pPr>
        <w:spacing w:before="60" w:after="60" w:line="276"/>
        <w:jc w:val="left"/>
      </w:pPr>
      <w:r>
        <w:rPr>
          <w:rFonts w:ascii="Helvetica" w:cs="Helvetica" w:eastAsia="Helvetica" w:hAnsi="Helvetica"/>
          <w:color w:val="67441A"/>
          <w:sz w:val="21"/>
          <w:szCs w:val="21"/>
        </w:rPr>
        <w:t xml:space="preserve">Like the Sengo era of postwar renewal, we envision a global shift:</w:t>
      </w:r>
    </w:p>
    <w:p>
      <w:pPr>
        <w:pStyle w:val="ListParagraph"/>
        <w:numPr>
          <w:ilvl w:val="0"/>
          <w:numId w:val="2"/>
        </w:numPr>
        <w:spacing w:before="40" w:after="40" w:line="276"/>
      </w:pPr>
      <w:r>
        <w:rPr>
          <w:rFonts w:ascii="Helvetica" w:cs="Helvetica" w:eastAsia="Helvetica" w:hAnsi="Helvetica"/>
          <w:color w:val="67441A"/>
          <w:sz w:val="21"/>
          <w:szCs w:val="21"/>
        </w:rPr>
        <w:t xml:space="preserve">From exclusion to access</w:t>
      </w:r>
    </w:p>
    <w:p>
      <w:pPr>
        <w:pStyle w:val="ListParagraph"/>
        <w:numPr>
          <w:ilvl w:val="0"/>
          <w:numId w:val="2"/>
        </w:numPr>
        <w:spacing w:before="40" w:after="40" w:line="276"/>
      </w:pPr>
      <w:r>
        <w:rPr>
          <w:rFonts w:ascii="Helvetica" w:cs="Helvetica" w:eastAsia="Helvetica" w:hAnsi="Helvetica"/>
          <w:color w:val="67441A"/>
          <w:sz w:val="21"/>
          <w:szCs w:val="21"/>
        </w:rPr>
        <w:t xml:space="preserve">From extraction to ethics</w:t>
      </w:r>
    </w:p>
    <w:p>
      <w:pPr>
        <w:pStyle w:val="ListParagraph"/>
        <w:numPr>
          <w:ilvl w:val="0"/>
          <w:numId w:val="2"/>
        </w:numPr>
        <w:spacing w:before="40" w:after="40" w:line="276"/>
      </w:pPr>
      <w:r>
        <w:rPr>
          <w:rFonts w:ascii="Helvetica" w:cs="Helvetica" w:eastAsia="Helvetica" w:hAnsi="Helvetica"/>
          <w:color w:val="67441A"/>
          <w:sz w:val="21"/>
          <w:szCs w:val="21"/>
        </w:rPr>
        <w:t xml:space="preserve">From individual gain to collective wealth</w:t>
      </w:r>
    </w:p>
    <w:p>
      <w:pPr>
        <w:spacing w:before="60" w:after="0"/>
      </w:pPr>
    </w:p>
    <w:p>
      <w:pPr>
        <w:spacing w:before="60" w:after="60" w:line="276"/>
        <w:jc w:val="left"/>
      </w:pPr>
      <w:r>
        <w:rPr>
          <w:rFonts w:ascii="Helvetica" w:cs="Helvetica" w:eastAsia="Helvetica" w:hAnsi="Helvetica"/>
          <w:color w:val="67441A"/>
          <w:sz w:val="21"/>
          <w:szCs w:val="21"/>
        </w:rPr>
        <w:t xml:space="preserve">In this future, entrepreneurship becomes not a privilege for the few, but a generational engine of resilience and prosperity for all. We’re building the infrastructure for communities to become capital engines—where wealth created by communities flows back to those communities, generation after generation.</w:t>
      </w:r>
    </w:p>
    <w:p>
      <w:pPr>
        <w:spacing w:before="200" w:after="0"/>
      </w:pPr>
    </w:p>
    <w:p>
      <w:pPr>
        <w:spacing w:before="360" w:after="60"/>
      </w:pPr>
      <w:r>
        <w:rPr>
          <w:rFonts w:ascii="Arimo" w:cs="Arimo" w:eastAsia="Arimo" w:hAnsi="Arimo"/>
          <w:b/>
          <w:bCs/>
          <w:color w:val="1B3533"/>
          <w:sz w:val="28"/>
          <w:szCs w:val="28"/>
        </w:rPr>
        <w:t xml:space="preserve">TRACTION &amp; VALIDATION</w:t>
      </w:r>
    </w:p>
    <w:p>
      <w:pPr>
        <w:pBdr>
          <w:bottom w:val="single" w:color="D57028" w:sz="4" w:space="8"/>
        </w:pBdr>
        <w:spacing w:before="200" w:after="200"/>
      </w:pPr>
    </w:p>
    <w:p>
      <w:pPr>
        <w:spacing w:before="60" w:after="60" w:line="276"/>
        <w:jc w:val="left"/>
      </w:pPr>
      <w:r>
        <w:rPr>
          <w:rFonts w:ascii="Helvetica" w:cs="Helvetica" w:eastAsia="Helvetica" w:hAnsi="Helvetica"/>
          <w:color w:val="67441A"/>
          <w:sz w:val="21"/>
          <w:szCs w:val="21"/>
        </w:rPr>
        <w:t xml:space="preserve">Our first 365 days since MVP launch demonstrate strong product-market fit and community engagement:</w:t>
      </w:r>
    </w:p>
    <w:p>
      <w:pPr>
        <w:spacing w:before="80" w:after="0"/>
      </w:pPr>
    </w:p>
    <w:p>
      <w:pPr>
        <w:spacing w:before="240" w:after="100"/>
      </w:pPr>
      <w:r>
        <w:rPr>
          <w:rFonts w:ascii="Arimo" w:cs="Arimo" w:eastAsia="Arimo" w:hAnsi="Arimo"/>
          <w:b/>
          <w:bCs/>
          <w:color w:val="67441A"/>
          <w:sz w:val="24"/>
          <w:szCs w:val="24"/>
        </w:rPr>
        <w:t xml:space="preserve">Community Growth</w:t>
      </w:r>
    </w:p>
    <w:p>
      <w:pPr>
        <w:pStyle w:val="ListParagraph"/>
        <w:numPr>
          <w:ilvl w:val="0"/>
          <w:numId w:val="2"/>
        </w:numPr>
        <w:spacing w:before="40" w:after="40" w:line="276"/>
      </w:pPr>
      <w:r>
        <w:rPr>
          <w:rFonts w:ascii="Helvetica" w:cs="Helvetica" w:eastAsia="Helvetica" w:hAnsi="Helvetica"/>
          <w:color w:val="67441A"/>
          <w:sz w:val="21"/>
          <w:szCs w:val="21"/>
        </w:rPr>
        <w:t xml:space="preserve">600+ active platform members</w:t>
      </w:r>
    </w:p>
    <w:p>
      <w:pPr>
        <w:pStyle w:val="ListParagraph"/>
        <w:numPr>
          <w:ilvl w:val="0"/>
          <w:numId w:val="2"/>
        </w:numPr>
        <w:spacing w:before="40" w:after="40" w:line="276"/>
      </w:pPr>
      <w:r>
        <w:rPr>
          <w:rFonts w:ascii="Helvetica" w:cs="Helvetica" w:eastAsia="Helvetica" w:hAnsi="Helvetica"/>
          <w:color w:val="67441A"/>
          <w:sz w:val="21"/>
          <w:szCs w:val="21"/>
        </w:rPr>
        <w:t xml:space="preserve">10,000+ email subscribers (grown organically)</w:t>
      </w:r>
    </w:p>
    <w:p>
      <w:pPr>
        <w:pStyle w:val="ListParagraph"/>
        <w:numPr>
          <w:ilvl w:val="0"/>
          <w:numId w:val="2"/>
        </w:numPr>
        <w:spacing w:before="40" w:after="40" w:line="276"/>
      </w:pPr>
      <w:r>
        <w:rPr>
          <w:rFonts w:ascii="Helvetica" w:cs="Helvetica" w:eastAsia="Helvetica" w:hAnsi="Helvetica"/>
          <w:color w:val="67441A"/>
          <w:sz w:val="21"/>
          <w:szCs w:val="21"/>
        </w:rPr>
        <w:t xml:space="preserve">46.5% email open rate (4X industry average); 90,678 emails delivered in 2025</w:t>
      </w:r>
    </w:p>
    <w:p>
      <w:pPr>
        <w:spacing w:before="80" w:after="0"/>
      </w:pPr>
    </w:p>
    <w:p>
      <w:pPr>
        <w:spacing w:before="240" w:after="100"/>
      </w:pPr>
      <w:r>
        <w:rPr>
          <w:rFonts w:ascii="Arimo" w:cs="Arimo" w:eastAsia="Arimo" w:hAnsi="Arimo"/>
          <w:b/>
          <w:bCs/>
          <w:color w:val="67441A"/>
          <w:sz w:val="24"/>
          <w:szCs w:val="24"/>
        </w:rPr>
        <w:t xml:space="preserve">Impact Metrics</w:t>
      </w:r>
    </w:p>
    <w:p>
      <w:pPr>
        <w:pStyle w:val="ListParagraph"/>
        <w:numPr>
          <w:ilvl w:val="0"/>
          <w:numId w:val="2"/>
        </w:numPr>
        <w:spacing w:before="40" w:after="40" w:line="276"/>
      </w:pPr>
      <w:r>
        <w:rPr>
          <w:rFonts w:ascii="Helvetica" w:cs="Helvetica" w:eastAsia="Helvetica" w:hAnsi="Helvetica"/>
          <w:color w:val="67441A"/>
          <w:sz w:val="21"/>
          <w:szCs w:val="21"/>
        </w:rPr>
        <w:t xml:space="preserve">$32,150 deployed in grants to 19 founders; 30+ events hosted</w:t>
      </w:r>
    </w:p>
    <w:p>
      <w:pPr>
        <w:pStyle w:val="ListParagraph"/>
        <w:numPr>
          <w:ilvl w:val="0"/>
          <w:numId w:val="2"/>
        </w:numPr>
        <w:spacing w:before="40" w:after="40" w:line="276"/>
      </w:pPr>
      <w:r>
        <w:rPr>
          <w:rFonts w:ascii="Helvetica" w:cs="Helvetica" w:eastAsia="Helvetica" w:hAnsi="Helvetica"/>
          <w:color w:val="67441A"/>
          <w:sz w:val="21"/>
          <w:szCs w:val="21"/>
        </w:rPr>
        <w:t xml:space="preserve">$5+ million raised by Sengo-supported founders in 9 months</w:t>
      </w:r>
    </w:p>
    <w:p>
      <w:pPr>
        <w:pStyle w:val="ListParagraph"/>
        <w:numPr>
          <w:ilvl w:val="0"/>
          <w:numId w:val="2"/>
        </w:numPr>
        <w:spacing w:before="40" w:after="40" w:line="276"/>
      </w:pPr>
      <w:r>
        <w:rPr>
          <w:rFonts w:ascii="Helvetica" w:cs="Helvetica" w:eastAsia="Helvetica" w:hAnsi="Helvetica"/>
          <w:color w:val="67441A"/>
          <w:sz w:val="21"/>
          <w:szCs w:val="21"/>
        </w:rPr>
        <w:t xml:space="preserve">167X multiplier on funds disbursed</w:t>
      </w:r>
    </w:p>
    <w:p>
      <w:pPr>
        <w:pStyle w:val="ListParagraph"/>
        <w:numPr>
          <w:ilvl w:val="0"/>
          <w:numId w:val="2"/>
        </w:numPr>
        <w:spacing w:before="40" w:after="40" w:line="276"/>
      </w:pPr>
      <w:r>
        <w:rPr>
          <w:rFonts w:ascii="Helvetica" w:cs="Helvetica" w:eastAsia="Helvetica" w:hAnsi="Helvetica"/>
          <w:color w:val="67441A"/>
          <w:sz w:val="21"/>
          <w:szCs w:val="21"/>
        </w:rPr>
        <w:t xml:space="preserve">Founders who engaged with Sengo resources successfully raised institutional capital</w:t>
      </w:r>
    </w:p>
    <w:p>
      <w:pPr>
        <w:spacing w:before="80" w:after="0"/>
      </w:pPr>
    </w:p>
    <w:p>
      <w:pPr>
        <w:spacing w:before="240" w:after="100"/>
      </w:pPr>
      <w:r>
        <w:rPr>
          <w:rFonts w:ascii="Arimo" w:cs="Arimo" w:eastAsia="Arimo" w:hAnsi="Arimo"/>
          <w:b/>
          <w:bCs/>
          <w:color w:val="67441A"/>
          <w:sz w:val="24"/>
          <w:szCs w:val="24"/>
        </w:rPr>
        <w:t xml:space="preserve">Financial Performance</w:t>
      </w:r>
    </w:p>
    <w:p>
      <w:pPr>
        <w:pStyle w:val="ListParagraph"/>
        <w:numPr>
          <w:ilvl w:val="0"/>
          <w:numId w:val="2"/>
        </w:numPr>
        <w:spacing w:before="40" w:after="40" w:line="276"/>
      </w:pPr>
      <w:r>
        <w:rPr>
          <w:rFonts w:ascii="Helvetica" w:cs="Helvetica" w:eastAsia="Helvetica" w:hAnsi="Helvetica"/>
          <w:color w:val="67441A"/>
          <w:sz w:val="21"/>
          <w:szCs w:val="21"/>
        </w:rPr>
        <w:t xml:space="preserve">$50K+ in annual recurring revenue</w:t>
      </w:r>
    </w:p>
    <w:p>
      <w:pPr>
        <w:pStyle w:val="ListParagraph"/>
        <w:numPr>
          <w:ilvl w:val="0"/>
          <w:numId w:val="2"/>
        </w:numPr>
        <w:spacing w:before="40" w:after="40" w:line="276"/>
      </w:pPr>
      <w:r>
        <w:rPr>
          <w:rFonts w:ascii="Helvetica" w:cs="Helvetica" w:eastAsia="Helvetica" w:hAnsi="Helvetica"/>
          <w:color w:val="67441A"/>
          <w:sz w:val="21"/>
          <w:szCs w:val="21"/>
        </w:rPr>
        <w:t xml:space="preserve">$178K+ in lifetime revenue in first 365 days</w:t>
      </w:r>
    </w:p>
    <w:p>
      <w:pPr>
        <w:pStyle w:val="ListParagraph"/>
        <w:numPr>
          <w:ilvl w:val="0"/>
          <w:numId w:val="2"/>
        </w:numPr>
        <w:spacing w:before="40" w:after="40" w:line="276"/>
      </w:pPr>
      <w:r>
        <w:rPr>
          <w:rFonts w:ascii="Helvetica" w:cs="Helvetica" w:eastAsia="Helvetica" w:hAnsi="Helvetica"/>
          <w:color w:val="67441A"/>
          <w:sz w:val="21"/>
          <w:szCs w:val="21"/>
        </w:rPr>
        <w:t xml:space="preserve">Revenue growth demonstrates sustainable, scalable model</w:t>
      </w:r>
    </w:p>
    <w:p>
      <w:pPr>
        <w:spacing w:before="80" w:after="0"/>
      </w:pPr>
    </w:p>
    <w:p>
      <w:pPr>
        <w:spacing w:before="240" w:after="100"/>
      </w:pPr>
      <w:r>
        <w:rPr>
          <w:rFonts w:ascii="Arimo" w:cs="Arimo" w:eastAsia="Arimo" w:hAnsi="Arimo"/>
          <w:b/>
          <w:bCs/>
          <w:color w:val="67441A"/>
          <w:sz w:val="24"/>
          <w:szCs w:val="24"/>
        </w:rPr>
        <w:t xml:space="preserve">Programs &amp; Recognition</w:t>
      </w:r>
    </w:p>
    <w:p>
      <w:pPr>
        <w:pStyle w:val="ListParagraph"/>
        <w:numPr>
          <w:ilvl w:val="0"/>
          <w:numId w:val="2"/>
        </w:numPr>
        <w:spacing w:before="40" w:after="40" w:line="276"/>
      </w:pPr>
      <w:r>
        <w:rPr>
          <w:rFonts w:ascii="Helvetica" w:cs="Helvetica" w:eastAsia="Helvetica" w:hAnsi="Helvetica"/>
          <w:color w:val="67441A"/>
          <w:sz w:val="21"/>
          <w:szCs w:val="21"/>
        </w:rPr>
        <w:t xml:space="preserve">Nasdaq Milestone Makers Entrepreneurship Program (2026)</w:t>
      </w:r>
    </w:p>
    <w:p>
      <w:pPr>
        <w:pStyle w:val="ListParagraph"/>
        <w:numPr>
          <w:ilvl w:val="0"/>
          <w:numId w:val="2"/>
        </w:numPr>
        <w:spacing w:before="40" w:after="40" w:line="276"/>
      </w:pPr>
      <w:r>
        <w:rPr>
          <w:rFonts w:ascii="Helvetica" w:cs="Helvetica" w:eastAsia="Helvetica" w:hAnsi="Helvetica"/>
          <w:color w:val="67441A"/>
          <w:sz w:val="21"/>
          <w:szCs w:val="21"/>
        </w:rPr>
        <w:t xml:space="preserve">WomenInvestEU Program (2026)</w:t>
      </w:r>
    </w:p>
    <w:p>
      <w:pPr>
        <w:pStyle w:val="ListParagraph"/>
        <w:numPr>
          <w:ilvl w:val="0"/>
          <w:numId w:val="2"/>
        </w:numPr>
        <w:spacing w:before="40" w:after="40" w:line="276"/>
      </w:pPr>
      <w:r>
        <w:rPr>
          <w:rFonts w:ascii="Helvetica" w:cs="Helvetica" w:eastAsia="Helvetica" w:hAnsi="Helvetica"/>
          <w:color w:val="67441A"/>
          <w:sz w:val="21"/>
          <w:szCs w:val="21"/>
        </w:rPr>
        <w:t xml:space="preserve">Ladies Who Launch — Finalist (2026)</w:t>
      </w:r>
    </w:p>
    <w:p>
      <w:pPr>
        <w:pStyle w:val="ListParagraph"/>
        <w:numPr>
          <w:ilvl w:val="0"/>
          <w:numId w:val="2"/>
        </w:numPr>
        <w:spacing w:before="40" w:after="40" w:line="276"/>
      </w:pPr>
      <w:r>
        <w:rPr>
          <w:rFonts w:ascii="Helvetica" w:cs="Helvetica" w:eastAsia="Helvetica" w:hAnsi="Helvetica"/>
          <w:color w:val="67441A"/>
          <w:sz w:val="21"/>
          <w:szCs w:val="21"/>
        </w:rPr>
        <w:t xml:space="preserve">Gradient Incubator — Tulsa (2026)</w:t>
      </w:r>
    </w:p>
    <w:p>
      <w:pPr>
        <w:pStyle w:val="ListParagraph"/>
        <w:numPr>
          <w:ilvl w:val="0"/>
          <w:numId w:val="2"/>
        </w:numPr>
        <w:spacing w:before="40" w:after="40" w:line="276"/>
      </w:pPr>
      <w:r>
        <w:rPr>
          <w:rFonts w:ascii="Helvetica" w:cs="Helvetica" w:eastAsia="Helvetica" w:hAnsi="Helvetica"/>
          <w:color w:val="67441A"/>
          <w:sz w:val="21"/>
          <w:szCs w:val="21"/>
        </w:rPr>
        <w:t xml:space="preserve">Black Girl Ventures Emerging Leaders Fellowship (2025)</w:t>
      </w:r>
    </w:p>
    <w:p>
      <w:pPr>
        <w:pStyle w:val="ListParagraph"/>
        <w:numPr>
          <w:ilvl w:val="0"/>
          <w:numId w:val="2"/>
        </w:numPr>
        <w:spacing w:before="40" w:after="40" w:line="276"/>
      </w:pPr>
      <w:r>
        <w:rPr>
          <w:rFonts w:ascii="Helvetica" w:cs="Helvetica" w:eastAsia="Helvetica" w:hAnsi="Helvetica"/>
          <w:color w:val="67441A"/>
          <w:sz w:val="21"/>
          <w:szCs w:val="21"/>
        </w:rPr>
        <w:t xml:space="preserve">W.E. Build — Build in Tulsa Cohort (2025)</w:t>
      </w:r>
    </w:p>
    <w:p>
      <w:pPr>
        <w:pStyle w:val="ListParagraph"/>
        <w:numPr>
          <w:ilvl w:val="0"/>
          <w:numId w:val="2"/>
        </w:numPr>
        <w:spacing w:before="40" w:after="40" w:line="276"/>
      </w:pPr>
      <w:r>
        <w:rPr>
          <w:rFonts w:ascii="Helvetica" w:cs="Helvetica" w:eastAsia="Helvetica" w:hAnsi="Helvetica"/>
          <w:color w:val="67441A"/>
          <w:sz w:val="21"/>
          <w:szCs w:val="21"/>
        </w:rPr>
        <w:t xml:space="preserve">Square Mini Grant Recipient</w:t>
      </w:r>
    </w:p>
    <w:p>
      <w:pPr>
        <w:spacing w:before="240" w:after="100"/>
      </w:pPr>
      <w:r>
        <w:rPr>
          <w:rFonts w:ascii="Arimo" w:cs="Arimo" w:eastAsia="Arimo" w:hAnsi="Arimo"/>
          <w:b/>
          <w:bCs/>
          <w:color w:val="67441A"/>
          <w:sz w:val="24"/>
          <w:szCs w:val="24"/>
        </w:rPr>
        <w:t xml:space="preserve">Press &amp; Speaking</w:t>
      </w:r>
    </w:p>
    <w:p>
      <w:pPr>
        <w:pStyle w:val="ListParagraph"/>
        <w:numPr>
          <w:ilvl w:val="0"/>
          <w:numId w:val="2"/>
        </w:numPr>
        <w:spacing w:before="40" w:after="40" w:line="276"/>
      </w:pPr>
      <w:r>
        <w:rPr>
          <w:rFonts w:ascii="Helvetica" w:cs="Helvetica" w:eastAsia="Helvetica" w:hAnsi="Helvetica"/>
          <w:color w:val="67441A"/>
          <w:sz w:val="21"/>
          <w:szCs w:val="21"/>
        </w:rPr>
        <w:t xml:space="preserve">Forbes (2x feature)</w:t>
      </w:r>
    </w:p>
    <w:p>
      <w:pPr>
        <w:pStyle w:val="ListParagraph"/>
        <w:numPr>
          <w:ilvl w:val="0"/>
          <w:numId w:val="2"/>
        </w:numPr>
        <w:spacing w:before="40" w:after="40" w:line="276"/>
      </w:pPr>
      <w:r>
        <w:rPr>
          <w:rFonts w:ascii="Helvetica" w:cs="Helvetica" w:eastAsia="Helvetica" w:hAnsi="Helvetica"/>
          <w:color w:val="67441A"/>
          <w:sz w:val="21"/>
          <w:szCs w:val="21"/>
        </w:rPr>
        <w:t xml:space="preserve">Business Insider</w:t>
      </w:r>
    </w:p>
    <w:p>
      <w:pPr>
        <w:pStyle w:val="ListParagraph"/>
        <w:numPr>
          <w:ilvl w:val="0"/>
          <w:numId w:val="2"/>
        </w:numPr>
        <w:spacing w:before="40" w:after="40" w:line="276"/>
      </w:pPr>
      <w:r>
        <w:rPr>
          <w:rFonts w:ascii="Helvetica" w:cs="Helvetica" w:eastAsia="Helvetica" w:hAnsi="Helvetica"/>
          <w:color w:val="67441A"/>
          <w:sz w:val="21"/>
          <w:szCs w:val="21"/>
        </w:rPr>
        <w:t xml:space="preserve">Authority Magazine</w:t>
      </w:r>
    </w:p>
    <w:p>
      <w:pPr>
        <w:pStyle w:val="ListParagraph"/>
        <w:numPr>
          <w:ilvl w:val="0"/>
          <w:numId w:val="2"/>
        </w:numPr>
        <w:spacing w:before="40" w:after="40" w:line="276"/>
      </w:pPr>
      <w:r>
        <w:rPr>
          <w:rFonts w:ascii="Helvetica" w:cs="Helvetica" w:eastAsia="Helvetica" w:hAnsi="Helvetica"/>
          <w:color w:val="67441A"/>
          <w:sz w:val="21"/>
          <w:szCs w:val="21"/>
        </w:rPr>
        <w:t xml:space="preserve">Cause Artist</w:t>
      </w:r>
    </w:p>
    <w:p>
      <w:pPr>
        <w:pStyle w:val="ListParagraph"/>
        <w:numPr>
          <w:ilvl w:val="0"/>
          <w:numId w:val="2"/>
        </w:numPr>
        <w:spacing w:before="40" w:after="40" w:line="276"/>
      </w:pPr>
      <w:r>
        <w:rPr>
          <w:rFonts w:ascii="Helvetica" w:cs="Helvetica" w:eastAsia="Helvetica" w:hAnsi="Helvetica"/>
          <w:color w:val="67441A"/>
          <w:sz w:val="21"/>
          <w:szCs w:val="21"/>
        </w:rPr>
        <w:t xml:space="preserve">Leading Visibly</w:t>
      </w:r>
    </w:p>
    <w:p>
      <w:pPr>
        <w:pStyle w:val="ListParagraph"/>
        <w:numPr>
          <w:ilvl w:val="0"/>
          <w:numId w:val="2"/>
        </w:numPr>
        <w:spacing w:before="40" w:after="40" w:line="276"/>
      </w:pPr>
      <w:r>
        <w:rPr>
          <w:rFonts w:ascii="Helvetica" w:cs="Helvetica" w:eastAsia="Helvetica" w:hAnsi="Helvetica"/>
          <w:color w:val="67441A"/>
          <w:sz w:val="21"/>
          <w:szCs w:val="21"/>
        </w:rPr>
        <w:t xml:space="preserve">Black Wealth Salon with Gabrielle Union</w:t>
      </w:r>
    </w:p>
    <w:p>
      <w:pPr>
        <w:pStyle w:val="ListParagraph"/>
        <w:numPr>
          <w:ilvl w:val="0"/>
          <w:numId w:val="2"/>
        </w:numPr>
        <w:spacing w:before="40" w:after="40" w:line="276"/>
      </w:pPr>
      <w:r>
        <w:rPr>
          <w:rFonts w:ascii="Helvetica" w:cs="Helvetica" w:eastAsia="Helvetica" w:hAnsi="Helvetica"/>
          <w:color w:val="67441A"/>
          <w:sz w:val="21"/>
          <w:szCs w:val="21"/>
        </w:rPr>
        <w:t xml:space="preserve">Black Woman Invest Conference</w:t>
      </w:r>
    </w:p>
    <w:p>
      <w:pPr>
        <w:pStyle w:val="ListParagraph"/>
        <w:numPr>
          <w:ilvl w:val="0"/>
          <w:numId w:val="2"/>
        </w:numPr>
        <w:spacing w:before="40" w:after="40" w:line="276"/>
      </w:pPr>
      <w:r>
        <w:rPr>
          <w:rFonts w:ascii="Helvetica" w:cs="Helvetica" w:eastAsia="Helvetica" w:hAnsi="Helvetica"/>
          <w:color w:val="67441A"/>
          <w:sz w:val="21"/>
          <w:szCs w:val="21"/>
        </w:rPr>
        <w:t xml:space="preserve">1PHL Innovation Weekend (Philadelphia)</w:t>
      </w:r>
    </w:p>
    <w:p>
      <w:pPr>
        <w:pStyle w:val="ListParagraph"/>
        <w:numPr>
          <w:ilvl w:val="0"/>
          <w:numId w:val="2"/>
        </w:numPr>
        <w:spacing w:before="40" w:after="40" w:line="276"/>
      </w:pPr>
      <w:r>
        <w:rPr>
          <w:rFonts w:ascii="Helvetica" w:cs="Helvetica" w:eastAsia="Helvetica" w:hAnsi="Helvetica"/>
          <w:color w:val="67441A"/>
          <w:sz w:val="21"/>
          <w:szCs w:val="21"/>
        </w:rPr>
        <w:t xml:space="preserve">Santa Clara University Panel</w:t>
      </w:r>
    </w:p>
    <w:p>
      <w:pPr>
        <w:pStyle w:val="ListParagraph"/>
        <w:numPr>
          <w:ilvl w:val="0"/>
          <w:numId w:val="2"/>
        </w:numPr>
        <w:spacing w:before="40" w:after="40" w:line="276"/>
      </w:pPr>
      <w:r>
        <w:rPr>
          <w:rFonts w:ascii="Helvetica" w:cs="Helvetica" w:eastAsia="Helvetica" w:hAnsi="Helvetica"/>
          <w:color w:val="67441A"/>
          <w:sz w:val="21"/>
          <w:szCs w:val="21"/>
        </w:rPr>
        <w:t xml:space="preserve">Spring into Wealth Panel</w:t>
      </w:r>
    </w:p>
    <w:p>
      <w:pPr>
        <w:pStyle w:val="ListParagraph"/>
        <w:numPr>
          <w:ilvl w:val="0"/>
          <w:numId w:val="2"/>
        </w:numPr>
        <w:spacing w:before="40" w:after="40" w:line="276"/>
      </w:pPr>
      <w:r>
        <w:rPr>
          <w:rFonts w:ascii="Helvetica" w:cs="Helvetica" w:eastAsia="Helvetica" w:hAnsi="Helvetica"/>
          <w:color w:val="67441A"/>
          <w:sz w:val="21"/>
          <w:szCs w:val="21"/>
        </w:rPr>
        <w:t xml:space="preserve">Entrepreneurial Appetite Podcast</w:t>
      </w:r>
    </w:p>
    <w:p>
      <w:pPr>
        <w:pStyle w:val="ListParagraph"/>
        <w:numPr>
          <w:ilvl w:val="0"/>
          <w:numId w:val="2"/>
        </w:numPr>
        <w:spacing w:before="40" w:after="40" w:line="276"/>
      </w:pPr>
      <w:r>
        <w:rPr>
          <w:rFonts w:ascii="Helvetica" w:cs="Helvetica" w:eastAsia="Helvetica" w:hAnsi="Helvetica"/>
          <w:color w:val="67441A"/>
          <w:sz w:val="21"/>
          <w:szCs w:val="21"/>
        </w:rPr>
        <w:t xml:space="preserve">Black Real Estate Dialogue Podcast</w:t>
      </w:r>
    </w:p>
    <w:p>
      <w:pPr>
        <w:spacing w:before="60" w:after="60" w:line="276"/>
        <w:jc w:val="left"/>
      </w:pPr>
      <w:r>
        <w:rPr>
          <w:rFonts w:ascii="Helvetica" w:cs="Helvetica" w:eastAsia="Helvetica" w:hAnsi="Helvetica"/>
          <w:color w:val="67441A"/>
          <w:sz w:val="21"/>
          <w:szCs w:val="21"/>
        </w:rPr>
        <w:t xml:space="preserve">Our founders represent diverse industries—from fashion to tech—and have successfully used Sengo’s resources to prepare for fundraising, connect with aligned investors, and close rounds. The 167X multiplier demonstrates that our educational approach and community-driven model directly translates to founder success and wealth creation.</w:t>
      </w:r>
    </w:p>
    <w:p>
      <w:r>
        <w:br w:type="page"/>
      </w:r>
    </w:p>
    <w:p>
      <w:pPr>
        <w:spacing w:before="360" w:after="60"/>
      </w:pPr>
      <w:r>
        <w:rPr>
          <w:rFonts w:ascii="Arimo" w:cs="Arimo" w:eastAsia="Arimo" w:hAnsi="Arimo"/>
          <w:b/>
          <w:bCs/>
          <w:color w:val="1B3533"/>
          <w:sz w:val="28"/>
          <w:szCs w:val="28"/>
        </w:rPr>
        <w:t xml:space="preserve">COMMUNITY VOICES</w:t>
      </w:r>
    </w:p>
    <w:p>
      <w:pPr>
        <w:pBdr>
          <w:bottom w:val="single" w:color="D57028" w:sz="4" w:space="8"/>
        </w:pBdr>
        <w:spacing w:before="200" w:after="200"/>
      </w:pPr>
    </w:p>
    <w:p>
      <w:pPr>
        <w:spacing w:before="60" w:after="60" w:line="276"/>
        <w:jc w:val="left"/>
      </w:pPr>
      <w:r>
        <w:rPr>
          <w:rFonts w:ascii="Helvetica" w:cs="Helvetica" w:eastAsia="Helvetica" w:hAnsi="Helvetica"/>
          <w:color w:val="67441A"/>
          <w:sz w:val="21"/>
          <w:szCs w:val="21"/>
        </w:rPr>
        <w:t xml:space="preserve">The strongest validation comes from the community itself. Below is a curated selection of feedback from founders, grant recipients, and community members—unedited and unsolicited:</w:t>
      </w:r>
    </w:p>
    <w:p>
      <w:pPr>
        <w:spacing w:before="80" w:after="0"/>
      </w:pPr>
    </w:p>
    <w:p>
      <w:pPr>
        <w:spacing w:before="240" w:after="100"/>
      </w:pPr>
      <w:r>
        <w:rPr>
          <w:rFonts w:ascii="Arimo" w:cs="Arimo" w:eastAsia="Arimo" w:hAnsi="Arimo"/>
          <w:b/>
          <w:bCs/>
          <w:color w:val="67441A"/>
          <w:sz w:val="24"/>
          <w:szCs w:val="24"/>
        </w:rPr>
        <w:t xml:space="preserve">Founder Outcomes</w:t>
      </w:r>
    </w:p>
    <w:p>
      <w:pPr>
        <w:spacing w:before="40" w:after="0"/>
      </w:pPr>
    </w:p>
    <w:p>
      <w:pPr>
        <w:pBdr>
          <w:left w:val="single" w:color="D57028" w:sz="6" w:space="8"/>
        </w:pBdr>
        <w:spacing w:before="60" w:after="40"/>
        <w:ind w:left="300" w:right="300"/>
      </w:pPr>
      <w:r>
        <w:rPr>
          <w:rFonts w:ascii="Helvetica" w:cs="Helvetica" w:eastAsia="Helvetica" w:hAnsi="Helvetica"/>
          <w:i/>
          <w:iCs/>
          <w:color w:val="67441A"/>
          <w:sz w:val="20"/>
          <w:szCs w:val="20"/>
        </w:rPr>
        <w:t xml:space="preserve">“Thank you overall for seeing the human side of entrepreneurship. Out of every grant that I’ve applied for, I’ve felt seen by you and I am sure other people can say the same.”</w:t>
      </w:r>
    </w:p>
    <w:p>
      <w:pPr>
        <w:spacing w:before="40" w:after="120"/>
        <w:ind w:left="300"/>
      </w:pPr>
      <w:r>
        <w:rPr>
          <w:rFonts w:ascii="Helvetica" w:cs="Helvetica" w:eastAsia="Helvetica" w:hAnsi="Helvetica"/>
          <w:b/>
          <w:bCs/>
          <w:color w:val="1B3533"/>
          <w:sz w:val="18"/>
          <w:szCs w:val="18"/>
        </w:rPr>
        <w:t xml:space="preserve">— Erica Baker, Founder, Black &amp; Bilingual, LLC</w:t>
      </w:r>
    </w:p>
    <w:p>
      <w:pPr>
        <w:pBdr>
          <w:left w:val="single" w:color="D57028" w:sz="6" w:space="8"/>
        </w:pBdr>
        <w:spacing w:before="60" w:after="40"/>
        <w:ind w:left="300" w:right="300"/>
      </w:pPr>
      <w:r>
        <w:rPr>
          <w:rFonts w:ascii="Helvetica" w:cs="Helvetica" w:eastAsia="Helvetica" w:hAnsi="Helvetica"/>
          <w:i/>
          <w:iCs/>
          <w:color w:val="67441A"/>
          <w:sz w:val="20"/>
          <w:szCs w:val="20"/>
        </w:rPr>
        <w:t xml:space="preserve">“Being rejected for the grant actually helped me gain deeper clarity. It moved me beyond simply thinking ‘I need funding’ to asking ‘Where are the most critical areas to allocate resources?’—especially in support of my pre-launch, exposure efforts, and building sustainable partnerships.”</w:t>
      </w:r>
    </w:p>
    <w:p>
      <w:pPr>
        <w:spacing w:before="40" w:after="120"/>
        <w:ind w:left="300"/>
      </w:pPr>
      <w:r>
        <w:rPr>
          <w:rFonts w:ascii="Helvetica" w:cs="Helvetica" w:eastAsia="Helvetica" w:hAnsi="Helvetica"/>
          <w:b/>
          <w:bCs/>
          <w:color w:val="1B3533"/>
          <w:sz w:val="18"/>
          <w:szCs w:val="18"/>
        </w:rPr>
        <w:t xml:space="preserve">— Sengo Grant Applicant (even non-winners gain from the process)</w:t>
      </w:r>
    </w:p>
    <w:p>
      <w:pPr>
        <w:pBdr>
          <w:left w:val="single" w:color="D57028" w:sz="6" w:space="8"/>
        </w:pBdr>
        <w:spacing w:before="60" w:after="40"/>
        <w:ind w:left="300" w:right="300"/>
      </w:pPr>
      <w:r>
        <w:rPr>
          <w:rFonts w:ascii="Helvetica" w:cs="Helvetica" w:eastAsia="Helvetica" w:hAnsi="Helvetica"/>
          <w:i/>
          <w:iCs/>
          <w:color w:val="67441A"/>
          <w:sz w:val="20"/>
          <w:szCs w:val="20"/>
        </w:rPr>
        <w:t xml:space="preserve">“Thank you for the business plan. The problem/solution and TAM framing gave me the confidence I needed.”</w:t>
      </w:r>
    </w:p>
    <w:p>
      <w:pPr>
        <w:spacing w:before="40" w:after="120"/>
        <w:ind w:left="300"/>
      </w:pPr>
      <w:r>
        <w:rPr>
          <w:rFonts w:ascii="Helvetica" w:cs="Helvetica" w:eastAsia="Helvetica" w:hAnsi="Helvetica"/>
          <w:b/>
          <w:bCs/>
          <w:color w:val="1B3533"/>
          <w:sz w:val="18"/>
          <w:szCs w:val="18"/>
        </w:rPr>
        <w:t xml:space="preserve">— Jordan Hodges, Sengo Advisory Client</w:t>
      </w:r>
    </w:p>
    <w:p>
      <w:pPr>
        <w:spacing w:before="40" w:after="0"/>
      </w:pPr>
    </w:p>
    <w:p>
      <w:pPr>
        <w:spacing w:before="240" w:after="100"/>
      </w:pPr>
      <w:r>
        <w:rPr>
          <w:rFonts w:ascii="Arimo" w:cs="Arimo" w:eastAsia="Arimo" w:hAnsi="Arimo"/>
          <w:b/>
          <w:bCs/>
          <w:color w:val="67441A"/>
          <w:sz w:val="24"/>
          <w:szCs w:val="24"/>
        </w:rPr>
        <w:t xml:space="preserve">Grant Recipient Impact</w:t>
      </w:r>
    </w:p>
    <w:p>
      <w:pPr>
        <w:spacing w:before="40" w:after="0"/>
      </w:pPr>
    </w:p>
    <w:p>
      <w:pPr>
        <w:pBdr>
          <w:left w:val="single" w:color="717E36" w:sz="6" w:space="8"/>
        </w:pBdr>
        <w:spacing w:before="60" w:after="40"/>
        <w:ind w:left="300" w:right="300"/>
      </w:pPr>
      <w:r>
        <w:rPr>
          <w:rFonts w:ascii="Helvetica" w:cs="Helvetica" w:eastAsia="Helvetica" w:hAnsi="Helvetica"/>
          <w:i/>
          <w:iCs/>
          <w:color w:val="67441A"/>
          <w:sz w:val="20"/>
          <w:szCs w:val="20"/>
        </w:rPr>
        <w:t xml:space="preserve">“Receiving this grant would be incredibly impactful for my brand. Fashion funding is notoriously difficult to secure, especially for independent designers. This support would allow me to invest more in domestic manufacturing, scale my production sustainably, and continue creating with intention while supporting a diverse and ethical supply chain.”</w:t>
      </w:r>
    </w:p>
    <w:p>
      <w:pPr>
        <w:spacing w:before="40" w:after="120"/>
        <w:ind w:left="300"/>
      </w:pPr>
      <w:r>
        <w:rPr>
          <w:rFonts w:ascii="Helvetica" w:cs="Helvetica" w:eastAsia="Helvetica" w:hAnsi="Helvetica"/>
          <w:b/>
          <w:bCs/>
          <w:color w:val="1B3533"/>
          <w:sz w:val="18"/>
          <w:szCs w:val="18"/>
        </w:rPr>
        <w:t xml:space="preserve">— Rupal Banerjee, Founder, Rupal Brand</w:t>
      </w:r>
    </w:p>
    <w:p>
      <w:pPr>
        <w:pBdr>
          <w:left w:val="single" w:color="717E36" w:sz="6" w:space="8"/>
        </w:pBdr>
        <w:spacing w:before="60" w:after="40"/>
        <w:ind w:left="300" w:right="300"/>
      </w:pPr>
      <w:r>
        <w:rPr>
          <w:rFonts w:ascii="Helvetica" w:cs="Helvetica" w:eastAsia="Helvetica" w:hAnsi="Helvetica"/>
          <w:i/>
          <w:iCs/>
          <w:color w:val="67441A"/>
          <w:sz w:val="20"/>
          <w:szCs w:val="20"/>
        </w:rPr>
        <w:t xml:space="preserve">“This grant means having the resources to protect my brand, extend my team’s work hours, and advertise my [business] to a wider audience.”</w:t>
      </w:r>
    </w:p>
    <w:p>
      <w:pPr>
        <w:spacing w:before="40" w:after="120"/>
        <w:ind w:left="300"/>
      </w:pPr>
      <w:r>
        <w:rPr>
          <w:rFonts w:ascii="Helvetica" w:cs="Helvetica" w:eastAsia="Helvetica" w:hAnsi="Helvetica"/>
          <w:b/>
          <w:bCs/>
          <w:color w:val="1B3533"/>
          <w:sz w:val="18"/>
          <w:szCs w:val="18"/>
        </w:rPr>
        <w:t xml:space="preserve">— Taryn Ferrer, Founder, Manifest Money Honey</w:t>
      </w:r>
    </w:p>
    <w:p>
      <w:pPr>
        <w:pBdr>
          <w:left w:val="single" w:color="717E36" w:sz="6" w:space="8"/>
        </w:pBdr>
        <w:spacing w:before="60" w:after="40"/>
        <w:ind w:left="300" w:right="300"/>
      </w:pPr>
      <w:r>
        <w:rPr>
          <w:rFonts w:ascii="Helvetica" w:cs="Helvetica" w:eastAsia="Helvetica" w:hAnsi="Helvetica"/>
          <w:i/>
          <w:iCs/>
          <w:color w:val="67441A"/>
          <w:sz w:val="20"/>
          <w:szCs w:val="20"/>
        </w:rPr>
        <w:t xml:space="preserve">“We’ve been exploring a potential corporate partnership, and we have our first meeting next week with a U.S. company in the future-of-protein space that does more than $12 billion in annual sales. I’m genuinely excited about where this engagement could lead.”</w:t>
      </w:r>
    </w:p>
    <w:p>
      <w:pPr>
        <w:spacing w:before="40" w:after="120"/>
        <w:ind w:left="300"/>
      </w:pPr>
      <w:r>
        <w:rPr>
          <w:rFonts w:ascii="Helvetica" w:cs="Helvetica" w:eastAsia="Helvetica" w:hAnsi="Helvetica"/>
          <w:b/>
          <w:bCs/>
          <w:color w:val="1B3533"/>
          <w:sz w:val="18"/>
          <w:szCs w:val="18"/>
        </w:rPr>
        <w:t xml:space="preserve">— Bryant Williams, Founder &amp; CEO, Hardcore Peanut Butter</w:t>
      </w:r>
    </w:p>
    <w:p>
      <w:pPr>
        <w:spacing w:before="40" w:after="0"/>
      </w:pPr>
    </w:p>
    <w:p>
      <w:pPr>
        <w:spacing w:before="240" w:after="100"/>
      </w:pPr>
      <w:r>
        <w:rPr>
          <w:rFonts w:ascii="Arimo" w:cs="Arimo" w:eastAsia="Arimo" w:hAnsi="Arimo"/>
          <w:b/>
          <w:bCs/>
          <w:color w:val="67441A"/>
          <w:sz w:val="24"/>
          <w:szCs w:val="24"/>
        </w:rPr>
        <w:t xml:space="preserve">Education &amp; Events</w:t>
      </w:r>
    </w:p>
    <w:p>
      <w:pPr>
        <w:spacing w:before="40" w:after="0"/>
      </w:pPr>
    </w:p>
    <w:p>
      <w:pPr>
        <w:pBdr>
          <w:left w:val="single" w:color="AF8145" w:sz="6" w:space="8"/>
        </w:pBdr>
        <w:spacing w:before="60" w:after="40"/>
        <w:ind w:left="300" w:right="300"/>
      </w:pPr>
      <w:r>
        <w:rPr>
          <w:rFonts w:ascii="Helvetica" w:cs="Helvetica" w:eastAsia="Helvetica" w:hAnsi="Helvetica"/>
          <w:i/>
          <w:iCs/>
          <w:color w:val="67441A"/>
          <w:sz w:val="20"/>
          <w:szCs w:val="20"/>
        </w:rPr>
        <w:t xml:space="preserve">“I’m a founder who was very nervous about funding as I’ve failed recently and lost a ton of capital. Love the comprehensiveness of this workshop and the ways it can help me to get up fast and continue. Would love to continue learning.”</w:t>
      </w:r>
    </w:p>
    <w:p>
      <w:pPr>
        <w:spacing w:before="40" w:after="120"/>
        <w:ind w:left="300"/>
      </w:pPr>
      <w:r>
        <w:rPr>
          <w:rFonts w:ascii="Helvetica" w:cs="Helvetica" w:eastAsia="Helvetica" w:hAnsi="Helvetica"/>
          <w:b/>
          <w:bCs/>
          <w:color w:val="1B3533"/>
          <w:sz w:val="18"/>
          <w:szCs w:val="18"/>
        </w:rPr>
        <w:t xml:space="preserve">— IFW Webinar Attendee</w:t>
      </w:r>
    </w:p>
    <w:p>
      <w:pPr>
        <w:pBdr>
          <w:left w:val="single" w:color="AF8145" w:sz="6" w:space="8"/>
        </w:pBdr>
        <w:spacing w:before="60" w:after="40"/>
        <w:ind w:left="300" w:right="300"/>
      </w:pPr>
      <w:r>
        <w:rPr>
          <w:rFonts w:ascii="Helvetica" w:cs="Helvetica" w:eastAsia="Helvetica" w:hAnsi="Helvetica"/>
          <w:i/>
          <w:iCs/>
          <w:color w:val="67441A"/>
          <w:sz w:val="20"/>
          <w:szCs w:val="20"/>
        </w:rPr>
        <w:t xml:space="preserve">“I just attended your ‘Bootstrapping vs. Debt’ webinar, and it was fantastic! Thanks so much for the work you do.”</w:t>
      </w:r>
    </w:p>
    <w:p>
      <w:pPr>
        <w:spacing w:before="40" w:after="120"/>
        <w:ind w:left="300"/>
      </w:pPr>
      <w:r>
        <w:rPr>
          <w:rFonts w:ascii="Helvetica" w:cs="Helvetica" w:eastAsia="Helvetica" w:hAnsi="Helvetica"/>
          <w:b/>
          <w:bCs/>
          <w:color w:val="1B3533"/>
          <w:sz w:val="18"/>
          <w:szCs w:val="18"/>
        </w:rPr>
        <w:t xml:space="preserve">— IFW Webinar Attendee</w:t>
      </w:r>
    </w:p>
    <w:p>
      <w:pPr>
        <w:pBdr>
          <w:left w:val="single" w:color="AF8145" w:sz="6" w:space="8"/>
        </w:pBdr>
        <w:spacing w:before="60" w:after="40"/>
        <w:ind w:left="300" w:right="300"/>
      </w:pPr>
      <w:r>
        <w:rPr>
          <w:rFonts w:ascii="Helvetica" w:cs="Helvetica" w:eastAsia="Helvetica" w:hAnsi="Helvetica"/>
          <w:i/>
          <w:iCs/>
          <w:color w:val="67441A"/>
          <w:sz w:val="20"/>
          <w:szCs w:val="20"/>
        </w:rPr>
        <w:t xml:space="preserve">“I feel a lot better about using debt to support especially as a 1st-gen entrepreneur at this level.”</w:t>
      </w:r>
    </w:p>
    <w:p>
      <w:pPr>
        <w:spacing w:before="40" w:after="120"/>
        <w:ind w:left="300"/>
      </w:pPr>
      <w:r>
        <w:rPr>
          <w:rFonts w:ascii="Helvetica" w:cs="Helvetica" w:eastAsia="Helvetica" w:hAnsi="Helvetica"/>
          <w:b/>
          <w:bCs/>
          <w:color w:val="1B3533"/>
          <w:sz w:val="18"/>
          <w:szCs w:val="18"/>
        </w:rPr>
        <w:t xml:space="preserve">— IFW Webinar Attendee</w:t>
      </w:r>
    </w:p>
    <w:p>
      <w:pPr>
        <w:spacing w:before="40" w:after="0"/>
      </w:pPr>
    </w:p>
    <w:p>
      <w:pPr>
        <w:spacing w:before="240" w:after="100"/>
      </w:pPr>
      <w:r>
        <w:rPr>
          <w:rFonts w:ascii="Arimo" w:cs="Arimo" w:eastAsia="Arimo" w:hAnsi="Arimo"/>
          <w:b/>
          <w:bCs/>
          <w:color w:val="67441A"/>
          <w:sz w:val="24"/>
          <w:szCs w:val="24"/>
        </w:rPr>
        <w:t xml:space="preserve">Community &amp; Leadership</w:t>
      </w:r>
    </w:p>
    <w:p>
      <w:pPr>
        <w:spacing w:before="40" w:after="0"/>
      </w:pPr>
    </w:p>
    <w:p>
      <w:pPr>
        <w:pBdr>
          <w:left w:val="single" w:color="1B3533" w:sz="6" w:space="8"/>
        </w:pBdr>
        <w:spacing w:before="60" w:after="40"/>
        <w:ind w:left="300" w:right="300"/>
      </w:pPr>
      <w:r>
        <w:rPr>
          <w:rFonts w:ascii="Helvetica" w:cs="Helvetica" w:eastAsia="Helvetica" w:hAnsi="Helvetica"/>
          <w:i/>
          <w:iCs/>
          <w:color w:val="67441A"/>
          <w:sz w:val="20"/>
          <w:szCs w:val="20"/>
        </w:rPr>
        <w:t xml:space="preserve">“Sengo has been instrumental in connecting like-minded women entrepreneurs. The community Ila has built is something truly special.”</w:t>
      </w:r>
    </w:p>
    <w:p>
      <w:pPr>
        <w:spacing w:before="40" w:after="120"/>
        <w:ind w:left="300"/>
      </w:pPr>
      <w:r>
        <w:rPr>
          <w:rFonts w:ascii="Helvetica" w:cs="Helvetica" w:eastAsia="Helvetica" w:hAnsi="Helvetica"/>
          <w:b/>
          <w:bCs/>
          <w:color w:val="1B3533"/>
          <w:sz w:val="18"/>
          <w:szCs w:val="18"/>
        </w:rPr>
        <w:t xml:space="preserve">— Robin Robinson, Community Member</w:t>
      </w:r>
    </w:p>
    <w:p>
      <w:pPr>
        <w:pBdr>
          <w:left w:val="single" w:color="1B3533" w:sz="6" w:space="8"/>
        </w:pBdr>
        <w:spacing w:before="60" w:after="40"/>
        <w:ind w:left="300" w:right="300"/>
      </w:pPr>
      <w:r>
        <w:rPr>
          <w:rFonts w:ascii="Helvetica" w:cs="Helvetica" w:eastAsia="Helvetica" w:hAnsi="Helvetica"/>
          <w:i/>
          <w:iCs/>
          <w:color w:val="67441A"/>
          <w:sz w:val="20"/>
          <w:szCs w:val="20"/>
        </w:rPr>
        <w:t xml:space="preserve">“Ila’s personal and professional brand is authentic, reliable, and empowering. She creates an environment of trust and support that not only makes people feel valued but also encourages them to grow.”</w:t>
      </w:r>
    </w:p>
    <w:p>
      <w:pPr>
        <w:spacing w:before="40" w:after="120"/>
        <w:ind w:left="300"/>
      </w:pPr>
      <w:r>
        <w:rPr>
          <w:rFonts w:ascii="Helvetica" w:cs="Helvetica" w:eastAsia="Helvetica" w:hAnsi="Helvetica"/>
          <w:b/>
          <w:bCs/>
          <w:color w:val="1B3533"/>
          <w:sz w:val="18"/>
          <w:szCs w:val="18"/>
        </w:rPr>
        <w:t xml:space="preserve">— Community Feedback Survey Respondent</w:t>
      </w:r>
    </w:p>
    <w:p>
      <w:pPr>
        <w:spacing w:before="60" w:after="0"/>
      </w:pPr>
    </w:p>
    <w:p>
      <w:pPr>
        <w:shd w:fill="F3EDE7" w:val="clear"/>
        <w:spacing w:before="80" w:after="80"/>
        <w:ind w:left="200" w:right="200"/>
      </w:pPr>
      <w:r>
        <w:rPr>
          <w:rFonts w:ascii="Helvetica" w:cs="Helvetica" w:eastAsia="Helvetica" w:hAnsi="Helvetica"/>
          <w:i/>
          <w:iCs/>
          <w:color w:val="1B3533"/>
          <w:sz w:val="20"/>
          <w:szCs w:val="20"/>
        </w:rPr>
        <w:t xml:space="preserve">These voices represent a fraction of the community feedback Sengo receives regularly. They illustrate what metrics alone cannot: the trust, clarity, and confidence that Sengo creates—the foundation on which scalable community infrastructure is built.</w:t>
      </w:r>
    </w:p>
    <w:p>
      <w:r>
        <w:br w:type="page"/>
      </w:r>
    </w:p>
    <w:p>
      <w:pPr>
        <w:spacing w:before="360" w:after="60"/>
      </w:pPr>
      <w:r>
        <w:rPr>
          <w:rFonts w:ascii="Arimo" w:cs="Arimo" w:eastAsia="Arimo" w:hAnsi="Arimo"/>
          <w:b/>
          <w:bCs/>
          <w:color w:val="1B3533"/>
          <w:sz w:val="28"/>
          <w:szCs w:val="28"/>
        </w:rPr>
        <w:t xml:space="preserve">BUSINESS MODEL</w:t>
      </w:r>
    </w:p>
    <w:p>
      <w:pPr>
        <w:pBdr>
          <w:bottom w:val="single" w:color="D57028" w:sz="4" w:space="8"/>
        </w:pBdr>
        <w:spacing w:before="200" w:after="200"/>
      </w:pPr>
    </w:p>
    <w:p>
      <w:pPr>
        <w:spacing w:before="60" w:after="60" w:line="276"/>
        <w:jc w:val="left"/>
      </w:pPr>
      <w:r>
        <w:rPr>
          <w:rFonts w:ascii="Helvetica" w:cs="Helvetica" w:eastAsia="Helvetica" w:hAnsi="Helvetica"/>
          <w:color w:val="67441A"/>
          <w:sz w:val="21"/>
          <w:szCs w:val="21"/>
        </w:rPr>
        <w:t xml:space="preserve">At the core is the Sengo app, a SaaS-enabled membership platform that connects founders, funders, and supporters. The platform combines:</w:t>
      </w:r>
    </w:p>
    <w:p>
      <w:pPr>
        <w:spacing w:before="40" w:after="0"/>
      </w:pPr>
    </w:p>
    <w:p>
      <w:pPr>
        <w:pStyle w:val="ListParagraph"/>
        <w:numPr>
          <w:ilvl w:val="0"/>
          <w:numId w:val="3"/>
        </w:numPr>
        <w:spacing w:before="40" w:after="40" w:line="276"/>
      </w:pPr>
      <w:r>
        <w:rPr>
          <w:rFonts w:ascii="Helvetica" w:cs="Helvetica" w:eastAsia="Helvetica" w:hAnsi="Helvetica"/>
          <w:color w:val="67441A"/>
          <w:sz w:val="21"/>
          <w:szCs w:val="21"/>
        </w:rPr>
        <w:t xml:space="preserve">Education — Virtual events, evergreen materials, and curated courses that prepare founders and funders to confidently navigate private markets</w:t>
      </w:r>
    </w:p>
    <w:p>
      <w:pPr>
        <w:pStyle w:val="ListParagraph"/>
        <w:numPr>
          <w:ilvl w:val="0"/>
          <w:numId w:val="3"/>
        </w:numPr>
        <w:spacing w:before="40" w:after="40" w:line="276"/>
      </w:pPr>
      <w:r>
        <w:rPr>
          <w:rFonts w:ascii="Helvetica" w:cs="Helvetica" w:eastAsia="Helvetica" w:hAnsi="Helvetica"/>
          <w:color w:val="67441A"/>
          <w:sz w:val="21"/>
          <w:szCs w:val="21"/>
        </w:rPr>
        <w:t xml:space="preserve">Community — A digital hub where members can post, chat, share resources, and access curated deal flow</w:t>
      </w:r>
    </w:p>
    <w:p>
      <w:pPr>
        <w:pStyle w:val="ListParagraph"/>
        <w:numPr>
          <w:ilvl w:val="0"/>
          <w:numId w:val="3"/>
        </w:numPr>
        <w:spacing w:before="40" w:after="40" w:line="276"/>
      </w:pPr>
      <w:r>
        <w:rPr>
          <w:rFonts w:ascii="Helvetica" w:cs="Helvetica" w:eastAsia="Helvetica" w:hAnsi="Helvetica"/>
          <w:color w:val="67441A"/>
          <w:sz w:val="21"/>
          <w:szCs w:val="21"/>
        </w:rPr>
        <w:t xml:space="preserve">Founder Coaching — Structured coaching programs for founders, including group cohorts, campaign development, deal publishing, and investor introductions</w:t>
      </w:r>
    </w:p>
    <w:p>
      <w:pPr>
        <w:pStyle w:val="ListParagraph"/>
        <w:numPr>
          <w:ilvl w:val="0"/>
          <w:numId w:val="3"/>
        </w:numPr>
        <w:spacing w:before="40" w:after="40" w:line="276"/>
      </w:pPr>
      <w:r>
        <w:rPr>
          <w:rFonts w:ascii="Helvetica" w:cs="Helvetica" w:eastAsia="Helvetica" w:hAnsi="Helvetica"/>
          <w:color w:val="67441A"/>
          <w:sz w:val="21"/>
          <w:szCs w:val="21"/>
        </w:rPr>
        <w:t xml:space="preserve">Events &amp; Experiences — From Fashion x Futures pop-ups to global retreats, blending culture and capital</w:t>
      </w:r>
    </w:p>
    <w:p>
      <w:pPr>
        <w:spacing w:before="60" w:after="0"/>
      </w:pPr>
    </w:p>
    <w:p>
      <w:pPr>
        <w:spacing w:before="60" w:after="60" w:line="276"/>
        <w:jc w:val="left"/>
      </w:pPr>
      <w:r>
        <w:rPr>
          <w:rFonts w:ascii="Helvetica" w:cs="Helvetica" w:eastAsia="Helvetica" w:hAnsi="Helvetica"/>
          <w:color w:val="67441A"/>
          <w:sz w:val="21"/>
          <w:szCs w:val="21"/>
        </w:rPr>
        <w:t xml:space="preserve">Together, these offerings create an inclusive, community-driven alternative to traditional fundraising, while building a foundation for long-term impact and wealth generation.</w:t>
      </w:r>
    </w:p>
    <w:p>
      <w:pPr>
        <w:spacing w:before="120" w:after="0"/>
      </w:pPr>
    </w:p>
    <w:p>
      <w:pPr>
        <w:spacing w:before="240" w:after="100"/>
      </w:pPr>
      <w:r>
        <w:rPr>
          <w:rFonts w:ascii="Arimo" w:cs="Arimo" w:eastAsia="Arimo" w:hAnsi="Arimo"/>
          <w:b/>
          <w:bCs/>
          <w:color w:val="67441A"/>
          <w:sz w:val="24"/>
          <w:szCs w:val="24"/>
        </w:rPr>
        <w:t xml:space="preserve">Revenue Model</w:t>
      </w:r>
    </w:p>
    <w:p>
      <w:pPr>
        <w:spacing w:before="80" w:after="0"/>
      </w:pPr>
    </w:p>
    <w:p>
      <w:pPr>
        <w:spacing w:before="180" w:after="80"/>
      </w:pPr>
      <w:r>
        <w:rPr>
          <w:rFonts w:ascii="Arimo" w:cs="Arimo" w:eastAsia="Arimo" w:hAnsi="Arimo"/>
          <w:b/>
          <w:bCs/>
          <w:color w:val="744D1F"/>
          <w:sz w:val="22"/>
          <w:szCs w:val="22"/>
        </w:rPr>
        <w:t xml:space="preserve">1. Platform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none" w:color="FFFFFF" w:sz="0"/>
              <w:left w:val="none" w:color="FFFFFF" w:sz="0"/>
              <w:bottom w:val="single" w:color="1B3533" w:sz="2"/>
              <w:right w:val="none" w:color="FFFFFF" w:sz="0"/>
            </w:tcBorders>
            <w:shd w:fill="1B3533" w:val="clear"/>
            <w:tcMar>
              <w:top w:type="dxa" w:w="80"/>
              <w:left w:type="dxa" w:w="120"/>
              <w:bottom w:type="dxa" w:w="80"/>
              <w:right w:type="dxa" w:w="120"/>
            </w:tcMar>
          </w:tcPr>
          <w:p>
            <w:r>
              <w:rPr>
                <w:rFonts w:ascii="Helvetica" w:cs="Helvetica" w:eastAsia="Helvetica" w:hAnsi="Helvetica"/>
                <w:b/>
                <w:bCs/>
                <w:color w:val="FFFFFF"/>
                <w:sz w:val="20"/>
                <w:szCs w:val="20"/>
              </w:rPr>
              <w:t xml:space="preserve">Tier</w:t>
            </w:r>
          </w:p>
        </w:tc>
        <w:tc>
          <w:tcPr>
            <w:tcW w:type="dxa" w:w="1800"/>
            <w:tcBorders>
              <w:top w:val="none" w:color="FFFFFF" w:sz="0"/>
              <w:left w:val="none" w:color="FFFFFF" w:sz="0"/>
              <w:bottom w:val="single" w:color="1B3533" w:sz="2"/>
              <w:right w:val="none" w:color="FFFFFF" w:sz="0"/>
            </w:tcBorders>
            <w:shd w:fill="1B3533" w:val="clear"/>
            <w:tcMar>
              <w:top w:type="dxa" w:w="80"/>
              <w:left w:type="dxa" w:w="120"/>
              <w:bottom w:type="dxa" w:w="80"/>
              <w:right w:type="dxa" w:w="120"/>
            </w:tcMar>
          </w:tcPr>
          <w:p>
            <w:r>
              <w:rPr>
                <w:rFonts w:ascii="Helvetica" w:cs="Helvetica" w:eastAsia="Helvetica" w:hAnsi="Helvetica"/>
                <w:b/>
                <w:bCs/>
                <w:color w:val="FFFFFF"/>
                <w:sz w:val="20"/>
                <w:szCs w:val="20"/>
              </w:rPr>
              <w:t xml:space="preserve">Price</w:t>
            </w:r>
          </w:p>
        </w:tc>
        <w:tc>
          <w:tcPr>
            <w:tcW w:type="dxa" w:w="4360"/>
            <w:tcBorders>
              <w:top w:val="none" w:color="FFFFFF" w:sz="0"/>
              <w:left w:val="none" w:color="FFFFFF" w:sz="0"/>
              <w:bottom w:val="single" w:color="1B3533" w:sz="2"/>
              <w:right w:val="none" w:color="FFFFFF" w:sz="0"/>
            </w:tcBorders>
            <w:shd w:fill="1B3533" w:val="clear"/>
            <w:tcMar>
              <w:top w:type="dxa" w:w="80"/>
              <w:left w:type="dxa" w:w="120"/>
              <w:bottom w:type="dxa" w:w="80"/>
              <w:right w:type="dxa" w:w="120"/>
            </w:tcMar>
          </w:tcPr>
          <w:p>
            <w:r>
              <w:rPr>
                <w:rFonts w:ascii="Helvetica" w:cs="Helvetica" w:eastAsia="Helvetica" w:hAnsi="Helvetica"/>
                <w:b/>
                <w:bCs/>
                <w:color w:val="FFFFFF"/>
                <w:sz w:val="20"/>
                <w:szCs w:val="20"/>
              </w:rPr>
              <w:t xml:space="preserve">Includes</w:t>
            </w:r>
          </w:p>
        </w:tc>
      </w:tr>
      <w:tr>
        <w:tc>
          <w:tcPr>
            <w:tcW w:type="dxa" w:w="320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r>
              <w:rPr>
                <w:rFonts w:ascii="Helvetica" w:cs="Helvetica" w:eastAsia="Helvetica" w:hAnsi="Helvetica"/>
                <w:color w:val="67441A"/>
                <w:sz w:val="20"/>
                <w:szCs w:val="20"/>
              </w:rPr>
              <w:t xml:space="preserve">Founder Tier</w:t>
            </w:r>
          </w:p>
        </w:tc>
        <w:tc>
          <w:tcPr>
            <w:tcW w:type="dxa" w:w="180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r>
              <w:rPr>
                <w:rFonts w:ascii="Helvetica" w:cs="Helvetica" w:eastAsia="Helvetica" w:hAnsi="Helvetica"/>
                <w:color w:val="67441A"/>
                <w:sz w:val="20"/>
                <w:szCs w:val="20"/>
              </w:rPr>
              <w:t xml:space="preserve">$15/month</w:t>
            </w:r>
          </w:p>
        </w:tc>
        <w:tc>
          <w:tcPr>
            <w:tcW w:type="dxa" w:w="436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r>
              <w:rPr>
                <w:rFonts w:ascii="Helvetica" w:cs="Helvetica" w:eastAsia="Helvetica" w:hAnsi="Helvetica"/>
                <w:color w:val="67441A"/>
                <w:sz w:val="20"/>
                <w:szCs w:val="20"/>
              </w:rPr>
              <w:t xml:space="preserve">Resources, advisory support, deal showcase opportunities</w:t>
            </w:r>
          </w:p>
        </w:tc>
      </w:tr>
      <w:tr>
        <w:tc>
          <w:tcPr>
            <w:tcW w:type="dxa" w:w="320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r>
              <w:rPr>
                <w:rFonts w:ascii="Helvetica" w:cs="Helvetica" w:eastAsia="Helvetica" w:hAnsi="Helvetica"/>
                <w:color w:val="67441A"/>
                <w:sz w:val="20"/>
                <w:szCs w:val="20"/>
              </w:rPr>
              <w:t xml:space="preserve">Investor Tier</w:t>
            </w:r>
          </w:p>
        </w:tc>
        <w:tc>
          <w:tcPr>
            <w:tcW w:type="dxa" w:w="180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r>
              <w:rPr>
                <w:rFonts w:ascii="Helvetica" w:cs="Helvetica" w:eastAsia="Helvetica" w:hAnsi="Helvetica"/>
                <w:color w:val="67441A"/>
                <w:sz w:val="20"/>
                <w:szCs w:val="20"/>
              </w:rPr>
              <w:t xml:space="preserve">$10/month</w:t>
            </w:r>
          </w:p>
        </w:tc>
        <w:tc>
          <w:tcPr>
            <w:tcW w:type="dxa" w:w="436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r>
              <w:rPr>
                <w:rFonts w:ascii="Helvetica" w:cs="Helvetica" w:eastAsia="Helvetica" w:hAnsi="Helvetica"/>
                <w:color w:val="67441A"/>
                <w:sz w:val="20"/>
                <w:szCs w:val="20"/>
              </w:rPr>
              <w:t xml:space="preserve">Curated deal flow, investment education, community</w:t>
            </w:r>
          </w:p>
        </w:tc>
      </w:tr>
      <w:tr>
        <w:tc>
          <w:tcPr>
            <w:tcW w:type="dxa" w:w="320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r>
              <w:rPr>
                <w:rFonts w:ascii="Helvetica" w:cs="Helvetica" w:eastAsia="Helvetica" w:hAnsi="Helvetica"/>
                <w:color w:val="67441A"/>
                <w:sz w:val="20"/>
                <w:szCs w:val="20"/>
              </w:rPr>
              <w:t xml:space="preserve">All Access</w:t>
            </w:r>
          </w:p>
        </w:tc>
        <w:tc>
          <w:tcPr>
            <w:tcW w:type="dxa" w:w="180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r>
              <w:rPr>
                <w:rFonts w:ascii="Helvetica" w:cs="Helvetica" w:eastAsia="Helvetica" w:hAnsi="Helvetica"/>
                <w:color w:val="67441A"/>
                <w:sz w:val="20"/>
                <w:szCs w:val="20"/>
              </w:rPr>
              <w:t xml:space="preserve">$25/month</w:t>
            </w:r>
          </w:p>
        </w:tc>
        <w:tc>
          <w:tcPr>
            <w:tcW w:type="dxa" w:w="436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r>
              <w:rPr>
                <w:rFonts w:ascii="Helvetica" w:cs="Helvetica" w:eastAsia="Helvetica" w:hAnsi="Helvetica"/>
                <w:color w:val="67441A"/>
                <w:sz w:val="20"/>
                <w:szCs w:val="20"/>
              </w:rPr>
              <w:t xml:space="preserve">Full platform access, priority events, exclusive content</w:t>
            </w:r>
          </w:p>
        </w:tc>
      </w:tr>
    </w:tbl>
    <w:p>
      <w:pPr>
        <w:spacing w:before="120" w:after="0"/>
      </w:pPr>
    </w:p>
    <w:p>
      <w:pPr>
        <w:spacing w:before="180" w:after="80"/>
      </w:pPr>
      <w:r>
        <w:rPr>
          <w:rFonts w:ascii="Arimo" w:cs="Arimo" w:eastAsia="Arimo" w:hAnsi="Arimo"/>
          <w:b/>
          <w:bCs/>
          <w:color w:val="744D1F"/>
          <w:sz w:val="22"/>
          <w:szCs w:val="22"/>
        </w:rPr>
        <w:t xml:space="preserve">2. Coaching &amp; Readiness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none" w:color="FFFFFF" w:sz="0"/>
              <w:left w:val="none" w:color="FFFFFF" w:sz="0"/>
              <w:bottom w:val="single" w:color="1B3533" w:sz="2"/>
              <w:right w:val="none" w:color="FFFFFF" w:sz="0"/>
            </w:tcBorders>
            <w:shd w:fill="1B3533" w:val="clear"/>
            <w:tcMar>
              <w:top w:type="dxa" w:w="80"/>
              <w:left w:type="dxa" w:w="120"/>
              <w:bottom w:type="dxa" w:w="80"/>
              <w:right w:type="dxa" w:w="120"/>
            </w:tcMar>
          </w:tcPr>
          <w:p>
            <w:r>
              <w:rPr>
                <w:rFonts w:ascii="Helvetica" w:cs="Helvetica" w:eastAsia="Helvetica" w:hAnsi="Helvetica"/>
                <w:b/>
                <w:bCs/>
                <w:color w:val="FFFFFF"/>
                <w:sz w:val="20"/>
                <w:szCs w:val="20"/>
              </w:rPr>
              <w:t xml:space="preserve">Tier</w:t>
            </w:r>
          </w:p>
        </w:tc>
        <w:tc>
          <w:tcPr>
            <w:tcW w:type="dxa" w:w="1800"/>
            <w:tcBorders>
              <w:top w:val="none" w:color="FFFFFF" w:sz="0"/>
              <w:left w:val="none" w:color="FFFFFF" w:sz="0"/>
              <w:bottom w:val="single" w:color="1B3533" w:sz="2"/>
              <w:right w:val="none" w:color="FFFFFF" w:sz="0"/>
            </w:tcBorders>
            <w:shd w:fill="1B3533" w:val="clear"/>
            <w:tcMar>
              <w:top w:type="dxa" w:w="80"/>
              <w:left w:type="dxa" w:w="120"/>
              <w:bottom w:type="dxa" w:w="80"/>
              <w:right w:type="dxa" w:w="120"/>
            </w:tcMar>
          </w:tcPr>
          <w:p>
            <w:r>
              <w:rPr>
                <w:rFonts w:ascii="Helvetica" w:cs="Helvetica" w:eastAsia="Helvetica" w:hAnsi="Helvetica"/>
                <w:b/>
                <w:bCs/>
                <w:color w:val="FFFFFF"/>
                <w:sz w:val="20"/>
                <w:szCs w:val="20"/>
              </w:rPr>
              <w:t xml:space="preserve">Price</w:t>
            </w:r>
          </w:p>
        </w:tc>
        <w:tc>
          <w:tcPr>
            <w:tcW w:type="dxa" w:w="4360"/>
            <w:tcBorders>
              <w:top w:val="none" w:color="FFFFFF" w:sz="0"/>
              <w:left w:val="none" w:color="FFFFFF" w:sz="0"/>
              <w:bottom w:val="single" w:color="1B3533" w:sz="2"/>
              <w:right w:val="none" w:color="FFFFFF" w:sz="0"/>
            </w:tcBorders>
            <w:shd w:fill="1B3533" w:val="clear"/>
            <w:tcMar>
              <w:top w:type="dxa" w:w="80"/>
              <w:left w:type="dxa" w:w="120"/>
              <w:bottom w:type="dxa" w:w="80"/>
              <w:right w:type="dxa" w:w="120"/>
            </w:tcMar>
          </w:tcPr>
          <w:p>
            <w:r>
              <w:rPr>
                <w:rFonts w:ascii="Helvetica" w:cs="Helvetica" w:eastAsia="Helvetica" w:hAnsi="Helvetica"/>
                <w:b/>
                <w:bCs/>
                <w:color w:val="FFFFFF"/>
                <w:sz w:val="20"/>
                <w:szCs w:val="20"/>
              </w:rPr>
              <w:t xml:space="preserve">Includes</w:t>
            </w:r>
          </w:p>
        </w:tc>
      </w:tr>
      <w:tr>
        <w:tc>
          <w:tcPr>
            <w:tcW w:type="dxa" w:w="320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r>
              <w:rPr>
                <w:rFonts w:ascii="Helvetica" w:cs="Helvetica" w:eastAsia="Helvetica" w:hAnsi="Helvetica"/>
                <w:color w:val="67441A"/>
                <w:sz w:val="20"/>
                <w:szCs w:val="20"/>
              </w:rPr>
              <w:t xml:space="preserve">Accelerator Coaching</w:t>
            </w:r>
          </w:p>
        </w:tc>
        <w:tc>
          <w:tcPr>
            <w:tcW w:type="dxa" w:w="180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r>
              <w:rPr>
                <w:rFonts w:ascii="Helvetica" w:cs="Helvetica" w:eastAsia="Helvetica" w:hAnsi="Helvetica"/>
                <w:color w:val="67441A"/>
                <w:sz w:val="20"/>
                <w:szCs w:val="20"/>
              </w:rPr>
              <w:t xml:space="preserve">$2,000/month</w:t>
            </w:r>
          </w:p>
        </w:tc>
        <w:tc>
          <w:tcPr>
            <w:tcW w:type="dxa" w:w="436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r>
              <w:rPr>
                <w:rFonts w:ascii="Helvetica" w:cs="Helvetica" w:eastAsia="Helvetica" w:hAnsi="Helvetica"/>
                <w:color w:val="67441A"/>
                <w:sz w:val="20"/>
                <w:szCs w:val="20"/>
              </w:rPr>
              <w:t xml:space="preserve">Intensive 1:1 + group coaching: fundraising strategy, campaign dev, investor readiness</w:t>
            </w:r>
          </w:p>
        </w:tc>
      </w:tr>
      <w:tr>
        <w:tc>
          <w:tcPr>
            <w:tcW w:type="dxa" w:w="320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r>
              <w:rPr>
                <w:rFonts w:ascii="Helvetica" w:cs="Helvetica" w:eastAsia="Helvetica" w:hAnsi="Helvetica"/>
                <w:color w:val="67441A"/>
                <w:sz w:val="20"/>
                <w:szCs w:val="20"/>
              </w:rPr>
              <w:t xml:space="preserve">Foundation Coaching</w:t>
            </w:r>
          </w:p>
        </w:tc>
        <w:tc>
          <w:tcPr>
            <w:tcW w:type="dxa" w:w="180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r>
              <w:rPr>
                <w:rFonts w:ascii="Helvetica" w:cs="Helvetica" w:eastAsia="Helvetica" w:hAnsi="Helvetica"/>
                <w:color w:val="67441A"/>
                <w:sz w:val="20"/>
                <w:szCs w:val="20"/>
              </w:rPr>
              <w:t xml:space="preserve">$1,000/month</w:t>
            </w:r>
          </w:p>
        </w:tc>
        <w:tc>
          <w:tcPr>
            <w:tcW w:type="dxa" w:w="436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r>
              <w:rPr>
                <w:rFonts w:ascii="Helvetica" w:cs="Helvetica" w:eastAsia="Helvetica" w:hAnsi="Helvetica"/>
                <w:color w:val="67441A"/>
                <w:sz w:val="20"/>
                <w:szCs w:val="20"/>
              </w:rPr>
              <w:t xml:space="preserve">Structured 12-week cohort program for fundraise readiness, pitch prep, and capital strategy</w:t>
            </w:r>
          </w:p>
        </w:tc>
      </w:tr>
    </w:tbl>
    <w:p>
      <w:pPr>
        <w:spacing w:before="120" w:after="0"/>
      </w:pPr>
    </w:p>
    <w:p>
      <w:pPr>
        <w:spacing w:before="180" w:after="80"/>
      </w:pPr>
      <w:r>
        <w:rPr>
          <w:rFonts w:ascii="Arimo" w:cs="Arimo" w:eastAsia="Arimo" w:hAnsi="Arimo"/>
          <w:b/>
          <w:bCs/>
          <w:color w:val="744D1F"/>
          <w:sz w:val="22"/>
          <w:szCs w:val="22"/>
        </w:rPr>
        <w:t xml:space="preserve">3. B2B / Sponsorship Partnerships</w:t>
      </w:r>
    </w:p>
    <w:p>
      <w:pPr>
        <w:pStyle w:val="ListParagraph"/>
        <w:numPr>
          <w:ilvl w:val="0"/>
          <w:numId w:val="2"/>
        </w:numPr>
        <w:spacing w:before="40" w:after="40" w:line="276"/>
      </w:pPr>
      <w:r>
        <w:rPr>
          <w:rFonts w:ascii="Helvetica" w:cs="Helvetica" w:eastAsia="Helvetica" w:hAnsi="Helvetica"/>
          <w:color w:val="67441A"/>
          <w:sz w:val="21"/>
          <w:szCs w:val="21"/>
        </w:rPr>
        <w:t xml:space="preserve">Four partnership tiers from our 2026 Partnership Deck: Event Partners ($10K–$25K), Media Partners ($2K–$5K), Platform Partners ($10K–$50K), and Ecosystem Partners ($75K+)</w:t>
      </w:r>
    </w:p>
    <w:p>
      <w:pPr>
        <w:pStyle w:val="ListParagraph"/>
        <w:numPr>
          <w:ilvl w:val="0"/>
          <w:numId w:val="2"/>
        </w:numPr>
        <w:spacing w:before="40" w:after="40" w:line="276"/>
      </w:pPr>
      <w:r>
        <w:rPr>
          <w:rFonts w:ascii="Helvetica" w:cs="Helvetica" w:eastAsia="Helvetica" w:hAnsi="Helvetica"/>
          <w:color w:val="67441A"/>
          <w:sz w:val="21"/>
          <w:szCs w:val="21"/>
        </w:rPr>
        <w:t xml:space="preserve">Value proposition: 10,000+ newsletter subscribers with 46%+ open rate, 4X industry average; curated access to diverse, capital-ready founders</w:t>
      </w:r>
    </w:p>
    <w:p>
      <w:pPr>
        <w:pStyle w:val="ListParagraph"/>
        <w:numPr>
          <w:ilvl w:val="0"/>
          <w:numId w:val="2"/>
        </w:numPr>
        <w:spacing w:before="40" w:after="40" w:line="276"/>
      </w:pPr>
      <w:r>
        <w:rPr>
          <w:rFonts w:ascii="Helvetica" w:cs="Helvetica" w:eastAsia="Helvetica" w:hAnsi="Helvetica"/>
          <w:color w:val="67441A"/>
          <w:sz w:val="21"/>
          <w:szCs w:val="21"/>
        </w:rPr>
        <w:t xml:space="preserve">Revenue from event sponsorships, newsletter placements, platform dealflow access, and co-created programming (pitch competitions, panels, workshops)</w:t>
      </w:r>
    </w:p>
    <w:p>
      <w:pPr>
        <w:spacing w:before="120" w:after="0"/>
      </w:pPr>
    </w:p>
    <w:p>
      <w:pPr>
        <w:spacing w:before="180" w:after="80"/>
      </w:pPr>
      <w:r>
        <w:rPr>
          <w:rFonts w:ascii="Arimo" w:cs="Arimo" w:eastAsia="Arimo" w:hAnsi="Arimo"/>
          <w:b/>
          <w:bCs/>
          <w:color w:val="744D1F"/>
          <w:sz w:val="22"/>
          <w:szCs w:val="22"/>
        </w:rPr>
        <w:t xml:space="preserve">4. Events &amp; Experiences</w:t>
      </w:r>
    </w:p>
    <w:p>
      <w:pPr>
        <w:pStyle w:val="ListParagraph"/>
        <w:numPr>
          <w:ilvl w:val="0"/>
          <w:numId w:val="2"/>
        </w:numPr>
        <w:spacing w:before="40" w:after="40" w:line="276"/>
      </w:pPr>
      <w:r>
        <w:rPr>
          <w:rFonts w:ascii="Helvetica" w:cs="Helvetica" w:eastAsia="Helvetica" w:hAnsi="Helvetica"/>
          <w:color w:val="67441A"/>
          <w:sz w:val="21"/>
          <w:szCs w:val="21"/>
        </w:rPr>
        <w:t xml:space="preserve">Fashion X Futures cultural capital events</w:t>
      </w:r>
    </w:p>
    <w:p>
      <w:pPr>
        <w:pStyle w:val="ListParagraph"/>
        <w:numPr>
          <w:ilvl w:val="0"/>
          <w:numId w:val="2"/>
        </w:numPr>
        <w:spacing w:before="40" w:after="40" w:line="276"/>
      </w:pPr>
      <w:r>
        <w:rPr>
          <w:rFonts w:ascii="Helvetica" w:cs="Helvetica" w:eastAsia="Helvetica" w:hAnsi="Helvetica"/>
          <w:color w:val="67441A"/>
          <w:sz w:val="21"/>
          <w:szCs w:val="21"/>
        </w:rPr>
        <w:t xml:space="preserve">Monthly virtual events (4x/month) and virtual pitch events</w:t>
      </w:r>
    </w:p>
    <w:p>
      <w:pPr>
        <w:pStyle w:val="ListParagraph"/>
        <w:numPr>
          <w:ilvl w:val="0"/>
          <w:numId w:val="2"/>
        </w:numPr>
        <w:spacing w:before="40" w:after="40" w:line="276"/>
      </w:pPr>
      <w:r>
        <w:rPr>
          <w:rFonts w:ascii="Helvetica" w:cs="Helvetica" w:eastAsia="Helvetica" w:hAnsi="Helvetica"/>
          <w:color w:val="67441A"/>
          <w:sz w:val="21"/>
          <w:szCs w:val="21"/>
        </w:rPr>
        <w:t xml:space="preserve">Biannual retreats (The Village and others)</w:t>
      </w:r>
    </w:p>
    <w:p>
      <w:pPr>
        <w:pStyle w:val="ListParagraph"/>
        <w:numPr>
          <w:ilvl w:val="0"/>
          <w:numId w:val="2"/>
        </w:numPr>
        <w:spacing w:before="40" w:after="40" w:line="276"/>
      </w:pPr>
      <w:r>
        <w:rPr>
          <w:rFonts w:ascii="Helvetica" w:cs="Helvetica" w:eastAsia="Helvetica" w:hAnsi="Helvetica"/>
          <w:color w:val="67441A"/>
          <w:sz w:val="21"/>
          <w:szCs w:val="21"/>
        </w:rPr>
        <w:t xml:space="preserve">Ad-hoc mixers and networking events</w:t>
      </w:r>
    </w:p>
    <w:p>
      <w:r>
        <w:br w:type="page"/>
      </w:r>
    </w:p>
    <w:p>
      <w:pPr>
        <w:spacing w:before="360" w:after="60"/>
      </w:pPr>
      <w:r>
        <w:rPr>
          <w:rFonts w:ascii="Arimo" w:cs="Arimo" w:eastAsia="Arimo" w:hAnsi="Arimo"/>
          <w:b/>
          <w:bCs/>
          <w:color w:val="1B3533"/>
          <w:sz w:val="28"/>
          <w:szCs w:val="28"/>
        </w:rPr>
        <w:t xml:space="preserve">MARKET OPPORTUNITY</w:t>
      </w:r>
    </w:p>
    <w:p>
      <w:pPr>
        <w:pBdr>
          <w:bottom w:val="single" w:color="D57028" w:sz="4" w:space="8"/>
        </w:pBdr>
        <w:spacing w:before="200" w:after="200"/>
      </w:pPr>
    </w:p>
    <w:p>
      <w:pPr>
        <w:spacing w:before="60" w:after="60" w:line="276"/>
        <w:jc w:val="left"/>
      </w:pPr>
      <w:r>
        <w:rPr>
          <w:rFonts w:ascii="Helvetica" w:cs="Helvetica" w:eastAsia="Helvetica" w:hAnsi="Helvetica"/>
          <w:color w:val="67441A"/>
          <w:sz w:val="21"/>
          <w:szCs w:val="21"/>
        </w:rPr>
        <w:t xml:space="preserve">The market is massive, underpenetrated, and growing—positioning Sengo as the bridge to unlock trillions in private market value.</w:t>
      </w:r>
    </w:p>
    <w:p>
      <w:pPr>
        <w:spacing w:before="80" w:after="0"/>
      </w:pPr>
    </w:p>
    <w:p>
      <w:pPr>
        <w:spacing w:before="240" w:after="100"/>
      </w:pPr>
      <w:r>
        <w:rPr>
          <w:rFonts w:ascii="Arimo" w:cs="Arimo" w:eastAsia="Arimo" w:hAnsi="Arimo"/>
          <w:b/>
          <w:bCs/>
          <w:color w:val="67441A"/>
          <w:sz w:val="24"/>
          <w:szCs w:val="24"/>
        </w:rPr>
        <w:t xml:space="preserve">Market Size</w:t>
      </w:r>
    </w:p>
    <w:p>
      <w:pPr>
        <w:spacing w:before="180" w:after="80"/>
      </w:pPr>
      <w:r>
        <w:rPr>
          <w:rFonts w:ascii="Arimo" w:cs="Arimo" w:eastAsia="Arimo" w:hAnsi="Arimo"/>
          <w:b/>
          <w:bCs/>
          <w:color w:val="744D1F"/>
          <w:sz w:val="22"/>
          <w:szCs w:val="22"/>
        </w:rPr>
        <w:t xml:space="preserve">Private Markets Growth</w:t>
      </w:r>
    </w:p>
    <w:p>
      <w:pPr>
        <w:pStyle w:val="ListParagraph"/>
        <w:numPr>
          <w:ilvl w:val="0"/>
          <w:numId w:val="2"/>
        </w:numPr>
        <w:spacing w:before="40" w:after="40" w:line="276"/>
      </w:pPr>
      <w:r>
        <w:rPr>
          <w:rFonts w:ascii="Helvetica" w:cs="Helvetica" w:eastAsia="Helvetica" w:hAnsi="Helvetica"/>
          <w:color w:val="67441A"/>
          <w:sz w:val="21"/>
          <w:szCs w:val="21"/>
        </w:rPr>
        <w:t xml:space="preserve">Global private market AUM reached a record $14.9 trillion at year-end 2025, up 15.4% year-over-year</w:t>
      </w:r>
    </w:p>
    <w:p>
      <w:pPr>
        <w:pStyle w:val="ListParagraph"/>
        <w:numPr>
          <w:ilvl w:val="0"/>
          <w:numId w:val="2"/>
        </w:numPr>
        <w:spacing w:before="40" w:after="40" w:line="276"/>
      </w:pPr>
      <w:r>
        <w:rPr>
          <w:rFonts w:ascii="Helvetica" w:cs="Helvetica" w:eastAsia="Helvetica" w:hAnsi="Helvetica"/>
          <w:color w:val="67441A"/>
          <w:sz w:val="21"/>
          <w:szCs w:val="21"/>
        </w:rPr>
        <w:t xml:space="preserve">Private equity fund values hit $10.6 trillion at the start of 2026—the highest annual growth rate since 2021</w:t>
      </w:r>
    </w:p>
    <w:p>
      <w:pPr>
        <w:pStyle w:val="ListParagraph"/>
        <w:numPr>
          <w:ilvl w:val="0"/>
          <w:numId w:val="2"/>
        </w:numPr>
        <w:spacing w:before="40" w:after="40" w:line="276"/>
      </w:pPr>
      <w:r>
        <w:rPr>
          <w:rFonts w:ascii="Helvetica" w:cs="Helvetica" w:eastAsia="Helvetica" w:hAnsi="Helvetica"/>
          <w:color w:val="67441A"/>
          <w:sz w:val="21"/>
          <w:szCs w:val="21"/>
        </w:rPr>
        <w:t xml:space="preserve">Projected to exceed $23.9 trillion by end of decade (Ocorian) and $30+ trillion within five years (Morgan Stanley)</w:t>
      </w:r>
    </w:p>
    <w:p>
      <w:pPr>
        <w:pStyle w:val="ListParagraph"/>
        <w:numPr>
          <w:ilvl w:val="0"/>
          <w:numId w:val="2"/>
        </w:numPr>
        <w:spacing w:before="40" w:after="40" w:line="276"/>
      </w:pPr>
      <w:r>
        <w:rPr>
          <w:rFonts w:ascii="Helvetica" w:cs="Helvetica" w:eastAsia="Helvetica" w:hAnsi="Helvetica"/>
          <w:color w:val="67441A"/>
          <w:sz w:val="21"/>
          <w:szCs w:val="21"/>
        </w:rPr>
        <w:t xml:space="preserve">Individual investors currently account for ~$2.7 trillion (one-fifth) of private markets AUM, projected to rise to 37% within five years</w:t>
      </w:r>
    </w:p>
    <w:p>
      <w:pPr>
        <w:spacing w:before="180" w:after="80"/>
      </w:pPr>
      <w:r>
        <w:rPr>
          <w:rFonts w:ascii="Arimo" w:cs="Arimo" w:eastAsia="Arimo" w:hAnsi="Arimo"/>
          <w:b/>
          <w:bCs/>
          <w:color w:val="744D1F"/>
          <w:sz w:val="22"/>
          <w:szCs w:val="22"/>
        </w:rPr>
        <w:t xml:space="preserve">Investment Crowdfunding</w:t>
      </w:r>
    </w:p>
    <w:p>
      <w:pPr>
        <w:pStyle w:val="ListParagraph"/>
        <w:numPr>
          <w:ilvl w:val="0"/>
          <w:numId w:val="2"/>
        </w:numPr>
        <w:spacing w:before="40" w:after="40" w:line="276"/>
      </w:pPr>
      <w:r>
        <w:rPr>
          <w:rFonts w:ascii="Helvetica" w:cs="Helvetica" w:eastAsia="Helvetica" w:hAnsi="Helvetica"/>
          <w:color w:val="67441A"/>
          <w:sz w:val="21"/>
          <w:szCs w:val="21"/>
        </w:rPr>
        <w:t xml:space="preserve">Investment crowdfunding (Reg CF + Reg A+) surged 58% in 2025 to $924.8 million—its best year on record</w:t>
      </w:r>
    </w:p>
    <w:p>
      <w:pPr>
        <w:pStyle w:val="ListParagraph"/>
        <w:numPr>
          <w:ilvl w:val="0"/>
          <w:numId w:val="2"/>
        </w:numPr>
        <w:spacing w:before="40" w:after="40" w:line="276"/>
      </w:pPr>
      <w:r>
        <w:rPr>
          <w:rFonts w:ascii="Helvetica" w:cs="Helvetica" w:eastAsia="Helvetica" w:hAnsi="Helvetica"/>
          <w:color w:val="67441A"/>
          <w:sz w:val="21"/>
          <w:szCs w:val="21"/>
        </w:rPr>
        <w:t xml:space="preserve">Reg CF raised $378 million in 2025 (up 11%); Reg A+ surged 124% to $546 million</w:t>
      </w:r>
    </w:p>
    <w:p>
      <w:pPr>
        <w:pStyle w:val="ListParagraph"/>
        <w:numPr>
          <w:ilvl w:val="0"/>
          <w:numId w:val="2"/>
        </w:numPr>
        <w:spacing w:before="40" w:after="40" w:line="276"/>
      </w:pPr>
      <w:r>
        <w:rPr>
          <w:rFonts w:ascii="Helvetica" w:cs="Helvetica" w:eastAsia="Helvetica" w:hAnsi="Helvetica"/>
          <w:color w:val="67441A"/>
          <w:sz w:val="21"/>
          <w:szCs w:val="21"/>
        </w:rPr>
        <w:t xml:space="preserve">Cumulative Reg CF capital raised since inception: $1.3 billion across ~3,900 offerings</w:t>
      </w:r>
    </w:p>
    <w:p>
      <w:pPr>
        <w:pStyle w:val="ListParagraph"/>
        <w:numPr>
          <w:ilvl w:val="0"/>
          <w:numId w:val="2"/>
        </w:numPr>
        <w:spacing w:before="40" w:after="40" w:line="276"/>
      </w:pPr>
      <w:r>
        <w:rPr>
          <w:rFonts w:ascii="Helvetica" w:cs="Helvetica" w:eastAsia="Helvetica" w:hAnsi="Helvetica"/>
          <w:color w:val="67441A"/>
          <w:sz w:val="21"/>
          <w:szCs w:val="21"/>
        </w:rPr>
        <w:t xml:space="preserve">Average Reg CF check size: $1,716; typical investor earns $66K/year</w:t>
      </w:r>
    </w:p>
    <w:p>
      <w:pPr>
        <w:spacing w:before="180" w:after="80"/>
      </w:pPr>
      <w:r>
        <w:rPr>
          <w:rFonts w:ascii="Arimo" w:cs="Arimo" w:eastAsia="Arimo" w:hAnsi="Arimo"/>
          <w:b/>
          <w:bCs/>
          <w:color w:val="744D1F"/>
          <w:sz w:val="22"/>
          <w:szCs w:val="22"/>
        </w:rPr>
        <w:t xml:space="preserve">Supply Side (Founders)</w:t>
      </w:r>
    </w:p>
    <w:p>
      <w:pPr>
        <w:pStyle w:val="ListParagraph"/>
        <w:numPr>
          <w:ilvl w:val="0"/>
          <w:numId w:val="2"/>
        </w:numPr>
        <w:spacing w:before="40" w:after="40" w:line="276"/>
      </w:pPr>
      <w:r>
        <w:rPr>
          <w:rFonts w:ascii="Helvetica" w:cs="Helvetica" w:eastAsia="Helvetica" w:hAnsi="Helvetica"/>
          <w:color w:val="67441A"/>
          <w:sz w:val="21"/>
          <w:szCs w:val="21"/>
        </w:rPr>
        <w:t xml:space="preserve">5.5 million businesses start annually; fewer than 3% receive venture funding</w:t>
      </w:r>
    </w:p>
    <w:p>
      <w:pPr>
        <w:pStyle w:val="ListParagraph"/>
        <w:numPr>
          <w:ilvl w:val="0"/>
          <w:numId w:val="2"/>
        </w:numPr>
        <w:spacing w:before="40" w:after="40" w:line="276"/>
      </w:pPr>
      <w:r>
        <w:rPr>
          <w:rFonts w:ascii="Helvetica" w:cs="Helvetica" w:eastAsia="Helvetica" w:hAnsi="Helvetica"/>
          <w:color w:val="67441A"/>
          <w:sz w:val="21"/>
          <w:szCs w:val="21"/>
        </w:rPr>
        <w:t xml:space="preserve">35 million private companies in the U.S. as of 2024, up 67% from 1997</w:t>
      </w:r>
    </w:p>
    <w:p>
      <w:pPr>
        <w:pStyle w:val="ListParagraph"/>
        <w:numPr>
          <w:ilvl w:val="0"/>
          <w:numId w:val="2"/>
        </w:numPr>
        <w:spacing w:before="40" w:after="40" w:line="276"/>
      </w:pPr>
      <w:r>
        <w:rPr>
          <w:rFonts w:ascii="Helvetica" w:cs="Helvetica" w:eastAsia="Helvetica" w:hAnsi="Helvetica"/>
          <w:color w:val="67441A"/>
          <w:sz w:val="21"/>
          <w:szCs w:val="21"/>
        </w:rPr>
        <w:t xml:space="preserve">5.3+ million businesses that could raise but don’t access VC</w:t>
      </w:r>
    </w:p>
    <w:p>
      <w:pPr>
        <w:spacing w:before="180" w:after="80"/>
      </w:pPr>
      <w:r>
        <w:rPr>
          <w:rFonts w:ascii="Arimo" w:cs="Arimo" w:eastAsia="Arimo" w:hAnsi="Arimo"/>
          <w:b/>
          <w:bCs/>
          <w:color w:val="744D1F"/>
          <w:sz w:val="22"/>
          <w:szCs w:val="22"/>
        </w:rPr>
        <w:t xml:space="preserve">Demand Side (Funders)</w:t>
      </w:r>
    </w:p>
    <w:p>
      <w:pPr>
        <w:pStyle w:val="ListParagraph"/>
        <w:numPr>
          <w:ilvl w:val="0"/>
          <w:numId w:val="2"/>
        </w:numPr>
        <w:spacing w:before="40" w:after="40" w:line="276"/>
      </w:pPr>
      <w:r>
        <w:rPr>
          <w:rFonts w:ascii="Helvetica" w:cs="Helvetica" w:eastAsia="Helvetica" w:hAnsi="Helvetica"/>
          <w:color w:val="67441A"/>
          <w:sz w:val="21"/>
          <w:szCs w:val="21"/>
        </w:rPr>
        <w:t xml:space="preserve">49 million Americans legally eligible to invest in private companies; fewer than 2% participate</w:t>
      </w:r>
    </w:p>
    <w:p>
      <w:pPr>
        <w:pStyle w:val="ListParagraph"/>
        <w:numPr>
          <w:ilvl w:val="0"/>
          <w:numId w:val="2"/>
        </w:numPr>
        <w:spacing w:before="40" w:after="40" w:line="276"/>
      </w:pPr>
      <w:r>
        <w:rPr>
          <w:rFonts w:ascii="Helvetica" w:cs="Helvetica" w:eastAsia="Helvetica" w:hAnsi="Helvetica"/>
          <w:color w:val="67441A"/>
          <w:sz w:val="21"/>
          <w:szCs w:val="21"/>
        </w:rPr>
        <w:t xml:space="preserve">90+ million Americans participate in employer-sponsored defined-contribution plans, now gaining access to alternatives via executive order</w:t>
      </w:r>
    </w:p>
    <w:p>
      <w:pPr>
        <w:pStyle w:val="ListParagraph"/>
        <w:numPr>
          <w:ilvl w:val="0"/>
          <w:numId w:val="2"/>
        </w:numPr>
        <w:spacing w:before="40" w:after="40" w:line="276"/>
      </w:pPr>
      <w:r>
        <w:rPr>
          <w:rFonts w:ascii="Helvetica" w:cs="Helvetica" w:eastAsia="Helvetica" w:hAnsi="Helvetica"/>
          <w:color w:val="67441A"/>
          <w:sz w:val="21"/>
          <w:szCs w:val="21"/>
        </w:rPr>
        <w:t xml:space="preserve">18.2 million everyday Americans earning $66K+ who could invest but haven’t</w:t>
      </w:r>
    </w:p>
    <w:p>
      <w:pPr>
        <w:spacing w:before="60" w:after="0"/>
      </w:pPr>
    </w:p>
    <w:p>
      <w:pPr>
        <w:shd w:fill="F3EDE7" w:val="clear"/>
        <w:spacing w:before="80" w:after="80"/>
        <w:ind w:left="200" w:right="200"/>
      </w:pPr>
      <w:r>
        <w:rPr>
          <w:rFonts w:ascii="Helvetica" w:cs="Helvetica" w:eastAsia="Helvetica" w:hAnsi="Helvetica"/>
          <w:b/>
          <w:bCs/>
          <w:color w:val="1B3533"/>
          <w:sz w:val="21"/>
          <w:szCs w:val="21"/>
        </w:rPr>
        <w:t xml:space="preserve">Total Addressable Market: ~$10 billion U.S. crowdfunding and alternative fundraising market, expanding rapidly as regulatory tailwinds, 401(k) access, and accredited investor reform converge to democratize private market participation.</w:t>
      </w:r>
    </w:p>
    <w:p>
      <w:pPr>
        <w:spacing w:before="120" w:after="0"/>
      </w:pPr>
    </w:p>
    <w:p>
      <w:pPr>
        <w:spacing w:before="240" w:after="100"/>
      </w:pPr>
      <w:r>
        <w:rPr>
          <w:rFonts w:ascii="Arimo" w:cs="Arimo" w:eastAsia="Arimo" w:hAnsi="Arimo"/>
          <w:b/>
          <w:bCs/>
          <w:color w:val="67441A"/>
          <w:sz w:val="24"/>
          <w:szCs w:val="24"/>
        </w:rPr>
        <w:t xml:space="preserve">Why Now</w:t>
      </w:r>
    </w:p>
    <w:p>
      <w:pPr>
        <w:spacing w:before="60" w:after="60" w:line="276"/>
        <w:jc w:val="left"/>
      </w:pPr>
      <w:r>
        <w:rPr>
          <w:rFonts w:ascii="Helvetica" w:cs="Helvetica" w:eastAsia="Helvetica" w:hAnsi="Helvetica"/>
          <w:color w:val="67441A"/>
          <w:sz w:val="21"/>
          <w:szCs w:val="21"/>
        </w:rPr>
        <w:t xml:space="preserve">The convergence of regulatory, market, and cultural forces creates an unprecedented window for Sengo:</w:t>
      </w:r>
    </w:p>
    <w:p>
      <w:pPr>
        <w:spacing w:before="60" w:after="0"/>
      </w:pPr>
    </w:p>
    <w:p>
      <w:pPr>
        <w:spacing w:before="180" w:after="80"/>
      </w:pPr>
      <w:r>
        <w:rPr>
          <w:rFonts w:ascii="Arimo" w:cs="Arimo" w:eastAsia="Arimo" w:hAnsi="Arimo"/>
          <w:b/>
          <w:bCs/>
          <w:color w:val="744D1F"/>
          <w:sz w:val="22"/>
          <w:szCs w:val="22"/>
        </w:rPr>
        <w:t xml:space="preserve">Regulatory Tailwinds</w:t>
      </w:r>
    </w:p>
    <w:p>
      <w:pPr>
        <w:pStyle w:val="ListParagraph"/>
        <w:numPr>
          <w:ilvl w:val="0"/>
          <w:numId w:val="2"/>
        </w:numPr>
        <w:spacing w:before="40" w:after="40" w:line="276"/>
      </w:pPr>
      <w:r>
        <w:rPr>
          <w:rFonts w:ascii="Helvetica" w:cs="Helvetica" w:eastAsia="Helvetica" w:hAnsi="Helvetica"/>
          <w:color w:val="67441A"/>
          <w:sz w:val="21"/>
          <w:szCs w:val="21"/>
        </w:rPr>
        <w:t xml:space="preserve">Executive Order on 401(k) Access (August 2025): President Trump signed an order opening America’s $12.5 trillion defined-contribution market to alternative assets including private equity, private credit, and real estate—effective 2026. The DOL immediately rescinded prior restrictive guidance.</w:t>
      </w:r>
    </w:p>
    <w:p>
      <w:pPr>
        <w:pStyle w:val="ListParagraph"/>
        <w:numPr>
          <w:ilvl w:val="0"/>
          <w:numId w:val="2"/>
        </w:numPr>
        <w:spacing w:before="40" w:after="40" w:line="276"/>
      </w:pPr>
      <w:r>
        <w:rPr>
          <w:rFonts w:ascii="Helvetica" w:cs="Helvetica" w:eastAsia="Helvetica" w:hAnsi="Helvetica"/>
          <w:color w:val="67441A"/>
          <w:sz w:val="21"/>
          <w:szCs w:val="21"/>
        </w:rPr>
        <w:t xml:space="preserve">Accredited Investor Expansion: The Fair Investment Opportunities for Professional Experts Act passed the House 397–12, allowing individuals to qualify via professional licenses, education, or job experience—not just wealth. A companion bill would create an SEC exam pathway. Both are pending in the Senate.</w:t>
      </w:r>
    </w:p>
    <w:p>
      <w:pPr>
        <w:pStyle w:val="ListParagraph"/>
        <w:numPr>
          <w:ilvl w:val="0"/>
          <w:numId w:val="2"/>
        </w:numPr>
        <w:spacing w:before="40" w:after="40" w:line="276"/>
      </w:pPr>
      <w:r>
        <w:rPr>
          <w:rFonts w:ascii="Helvetica" w:cs="Helvetica" w:eastAsia="Helvetica" w:hAnsi="Helvetica"/>
          <w:color w:val="67441A"/>
          <w:sz w:val="21"/>
          <w:szCs w:val="21"/>
        </w:rPr>
        <w:t xml:space="preserve">Reg CF maturation: The $5 million offering cap (expanded from $1.07M in 2021) now supports 101 raises over $1M in 2025. SPVs and “test the waters” provisions further reduce friction.</w:t>
      </w:r>
    </w:p>
    <w:p>
      <w:pPr>
        <w:pStyle w:val="ListParagraph"/>
        <w:numPr>
          <w:ilvl w:val="0"/>
          <w:numId w:val="2"/>
        </w:numPr>
        <w:spacing w:before="40" w:after="40" w:line="276"/>
      </w:pPr>
      <w:r>
        <w:rPr>
          <w:rFonts w:ascii="Helvetica" w:cs="Helvetica" w:eastAsia="Helvetica" w:hAnsi="Helvetica"/>
          <w:color w:val="67441A"/>
          <w:sz w:val="21"/>
          <w:szCs w:val="21"/>
        </w:rPr>
        <w:t xml:space="preserve">Pro-capital formation SEC: Commissioner Uyeda has called for further loosening of investor restrictions, and reform proposals to improve secondary-market liquidity for Reg A and Reg CF offerings are under active discussion.</w:t>
      </w:r>
    </w:p>
    <w:p>
      <w:pPr>
        <w:spacing w:before="60" w:after="0"/>
      </w:pPr>
    </w:p>
    <w:p>
      <w:pPr>
        <w:spacing w:before="180" w:after="80"/>
      </w:pPr>
      <w:r>
        <w:rPr>
          <w:rFonts w:ascii="Arimo" w:cs="Arimo" w:eastAsia="Arimo" w:hAnsi="Arimo"/>
          <w:b/>
          <w:bCs/>
          <w:color w:val="744D1F"/>
          <w:sz w:val="22"/>
          <w:szCs w:val="22"/>
        </w:rPr>
        <w:t xml:space="preserve">Market Shift</w:t>
      </w:r>
    </w:p>
    <w:p>
      <w:pPr>
        <w:pStyle w:val="ListParagraph"/>
        <w:numPr>
          <w:ilvl w:val="0"/>
          <w:numId w:val="2"/>
        </w:numPr>
        <w:spacing w:before="40" w:after="40" w:line="276"/>
      </w:pPr>
      <w:r>
        <w:rPr>
          <w:rFonts w:ascii="Helvetica" w:cs="Helvetica" w:eastAsia="Helvetica" w:hAnsi="Helvetica"/>
          <w:color w:val="67441A"/>
          <w:sz w:val="21"/>
          <w:szCs w:val="21"/>
        </w:rPr>
        <w:t xml:space="preserve">Private equity AUM hit a record $10.6 trillion entering 2026; private credit is projected to reach $4.5 trillion by decade’s end</w:t>
      </w:r>
    </w:p>
    <w:p>
      <w:pPr>
        <w:pStyle w:val="ListParagraph"/>
        <w:numPr>
          <w:ilvl w:val="0"/>
          <w:numId w:val="2"/>
        </w:numPr>
        <w:spacing w:before="40" w:after="40" w:line="276"/>
      </w:pPr>
      <w:r>
        <w:rPr>
          <w:rFonts w:ascii="Helvetica" w:cs="Helvetica" w:eastAsia="Helvetica" w:hAnsi="Helvetica"/>
          <w:color w:val="67441A"/>
          <w:sz w:val="21"/>
          <w:szCs w:val="21"/>
        </w:rPr>
        <w:t xml:space="preserve">Public companies declined 55% since 1997 (to ~4,000) while private companies grew 67% (to 35 million)—companies are staying private longer and capturing more value before any IPO</w:t>
      </w:r>
    </w:p>
    <w:p>
      <w:pPr>
        <w:pStyle w:val="ListParagraph"/>
        <w:numPr>
          <w:ilvl w:val="0"/>
          <w:numId w:val="2"/>
        </w:numPr>
        <w:spacing w:before="40" w:after="40" w:line="276"/>
      </w:pPr>
      <w:r>
        <w:rPr>
          <w:rFonts w:ascii="Helvetica" w:cs="Helvetica" w:eastAsia="Helvetica" w:hAnsi="Helvetica"/>
          <w:color w:val="67441A"/>
          <w:sz w:val="21"/>
          <w:szCs w:val="21"/>
        </w:rPr>
        <w:t xml:space="preserve">Evergreen investment vehicles reached $427 billion in AUM by end of 2024, growing ~20% annually toward a projected $1 trillion by 2029</w:t>
      </w:r>
    </w:p>
    <w:p>
      <w:pPr>
        <w:pStyle w:val="ListParagraph"/>
        <w:numPr>
          <w:ilvl w:val="0"/>
          <w:numId w:val="2"/>
        </w:numPr>
        <w:spacing w:before="40" w:after="40" w:line="276"/>
      </w:pPr>
      <w:r>
        <w:rPr>
          <w:rFonts w:ascii="Helvetica" w:cs="Helvetica" w:eastAsia="Helvetica" w:hAnsi="Helvetica"/>
          <w:color w:val="67441A"/>
          <w:sz w:val="21"/>
          <w:szCs w:val="21"/>
        </w:rPr>
        <w:t xml:space="preserve">BlackRock is launching a 401(k) target-date fund with 5–20% private allocation in early 2026; Empower and Apollo are partnering to bring private assets to retirement accounts</w:t>
      </w:r>
    </w:p>
    <w:p>
      <w:pPr>
        <w:spacing w:before="60" w:after="0"/>
      </w:pPr>
    </w:p>
    <w:p>
      <w:pPr>
        <w:spacing w:before="180" w:after="80"/>
      </w:pPr>
      <w:r>
        <w:rPr>
          <w:rFonts w:ascii="Arimo" w:cs="Arimo" w:eastAsia="Arimo" w:hAnsi="Arimo"/>
          <w:b/>
          <w:bCs/>
          <w:color w:val="744D1F"/>
          <w:sz w:val="22"/>
          <w:szCs w:val="22"/>
        </w:rPr>
        <w:t xml:space="preserve">Cultural Momentum</w:t>
      </w:r>
    </w:p>
    <w:p>
      <w:pPr>
        <w:pStyle w:val="ListParagraph"/>
        <w:numPr>
          <w:ilvl w:val="0"/>
          <w:numId w:val="2"/>
        </w:numPr>
        <w:spacing w:before="40" w:after="40" w:line="276"/>
      </w:pPr>
      <w:r>
        <w:rPr>
          <w:rFonts w:ascii="Helvetica" w:cs="Helvetica" w:eastAsia="Helvetica" w:hAnsi="Helvetica"/>
          <w:color w:val="67441A"/>
          <w:sz w:val="21"/>
          <w:szCs w:val="21"/>
        </w:rPr>
        <w:t xml:space="preserve">Investment crowdfunding surged 58% in 2025 to nearly $925 million—its best year on record</w:t>
      </w:r>
    </w:p>
    <w:p>
      <w:pPr>
        <w:pStyle w:val="ListParagraph"/>
        <w:numPr>
          <w:ilvl w:val="0"/>
          <w:numId w:val="2"/>
        </w:numPr>
        <w:spacing w:before="40" w:after="40" w:line="276"/>
      </w:pPr>
      <w:r>
        <w:rPr>
          <w:rFonts w:ascii="Helvetica" w:cs="Helvetica" w:eastAsia="Helvetica" w:hAnsi="Helvetica"/>
          <w:color w:val="67441A"/>
          <w:sz w:val="21"/>
          <w:szCs w:val="21"/>
        </w:rPr>
        <w:t xml:space="preserve">Growing demand for ethical, community-driven investment options; communities seeking alternatives to extractive capital systems</w:t>
      </w:r>
    </w:p>
    <w:p>
      <w:pPr>
        <w:pStyle w:val="ListParagraph"/>
        <w:numPr>
          <w:ilvl w:val="0"/>
          <w:numId w:val="2"/>
        </w:numPr>
        <w:spacing w:before="40" w:after="40" w:line="276"/>
      </w:pPr>
      <w:r>
        <w:rPr>
          <w:rFonts w:ascii="Helvetica" w:cs="Helvetica" w:eastAsia="Helvetica" w:hAnsi="Helvetica"/>
          <w:color w:val="67441A"/>
          <w:sz w:val="21"/>
          <w:szCs w:val="21"/>
        </w:rPr>
        <w:t xml:space="preserve">The shift from quantity to quality in crowdfunding (fewer offerings, more capital per raise) rewards platforms like Sengo that build founder readiness and investor trust</w:t>
      </w:r>
    </w:p>
    <w:p>
      <w:pPr>
        <w:spacing w:before="60" w:after="0"/>
      </w:pPr>
    </w:p>
    <w:p>
      <w:pPr>
        <w:spacing w:before="60" w:after="60" w:line="276"/>
        <w:jc w:val="left"/>
      </w:pPr>
      <w:r>
        <w:rPr>
          <w:rFonts w:ascii="Helvetica" w:cs="Helvetica" w:eastAsia="Helvetica" w:hAnsi="Helvetica"/>
          <w:color w:val="67441A"/>
          <w:sz w:val="21"/>
          <w:szCs w:val="21"/>
        </w:rPr>
        <w:t xml:space="preserve">This convergence is historic. As private markets open to retail investors and new qualifying pathways emerge, the need for education, community infrastructure, and trusted intermediaries has never been greater. Sengo is built precisely for this moment.</w:t>
      </w:r>
    </w:p>
    <w:p>
      <w:r>
        <w:br w:type="page"/>
      </w:r>
    </w:p>
    <w:p>
      <w:pPr>
        <w:spacing w:before="360" w:after="60"/>
      </w:pPr>
      <w:r>
        <w:rPr>
          <w:rFonts w:ascii="Arimo" w:cs="Arimo" w:eastAsia="Arimo" w:hAnsi="Arimo"/>
          <w:b/>
          <w:bCs/>
          <w:color w:val="1B3533"/>
          <w:sz w:val="28"/>
          <w:szCs w:val="28"/>
        </w:rPr>
        <w:t xml:space="preserve">COMPETITIVE LANDSCAPE</w:t>
      </w:r>
    </w:p>
    <w:p>
      <w:pPr>
        <w:pBdr>
          <w:bottom w:val="single" w:color="D57028" w:sz="4" w:space="8"/>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none" w:color="FFFFFF" w:sz="0"/>
              <w:left w:val="none" w:color="FFFFFF" w:sz="0"/>
              <w:bottom w:val="single" w:color="D57028" w:sz="2"/>
              <w:right w:val="none" w:color="FFFFFF" w:sz="0"/>
            </w:tcBorders>
            <w:shd w:fill="1B3533" w:val="clear"/>
            <w:tcMar>
              <w:top w:type="dxa" w:w="80"/>
              <w:left w:type="dxa" w:w="120"/>
              <w:bottom w:type="dxa" w:w="80"/>
              <w:right w:type="dxa" w:w="120"/>
            </w:tcMar>
          </w:tcPr>
          <w:p>
            <w:r>
              <w:rPr>
                <w:rFonts w:ascii="Helvetica" w:cs="Helvetica" w:eastAsia="Helvetica" w:hAnsi="Helvetica"/>
                <w:b/>
                <w:bCs/>
                <w:color w:val="FFFFFF"/>
                <w:sz w:val="20"/>
                <w:szCs w:val="20"/>
              </w:rPr>
              <w:t xml:space="preserve">Competitor</w:t>
            </w:r>
          </w:p>
        </w:tc>
        <w:tc>
          <w:tcPr>
            <w:tcW w:type="dxa" w:w="3510"/>
            <w:tcBorders>
              <w:top w:val="none" w:color="FFFFFF" w:sz="0"/>
              <w:left w:val="none" w:color="FFFFFF" w:sz="0"/>
              <w:bottom w:val="single" w:color="D57028" w:sz="2"/>
              <w:right w:val="none" w:color="FFFFFF" w:sz="0"/>
            </w:tcBorders>
            <w:shd w:fill="1B3533" w:val="clear"/>
            <w:tcMar>
              <w:top w:type="dxa" w:w="80"/>
              <w:left w:type="dxa" w:w="120"/>
              <w:bottom w:type="dxa" w:w="80"/>
              <w:right w:type="dxa" w:w="120"/>
            </w:tcMar>
          </w:tcPr>
          <w:p>
            <w:r>
              <w:rPr>
                <w:rFonts w:ascii="Helvetica" w:cs="Helvetica" w:eastAsia="Helvetica" w:hAnsi="Helvetica"/>
                <w:b/>
                <w:bCs/>
                <w:color w:val="FFFFFF"/>
                <w:sz w:val="20"/>
                <w:szCs w:val="20"/>
              </w:rPr>
              <w:t xml:space="preserve">Focus</w:t>
            </w:r>
          </w:p>
        </w:tc>
        <w:tc>
          <w:tcPr>
            <w:tcW w:type="dxa" w:w="3510"/>
            <w:tcBorders>
              <w:top w:val="none" w:color="FFFFFF" w:sz="0"/>
              <w:left w:val="none" w:color="FFFFFF" w:sz="0"/>
              <w:bottom w:val="single" w:color="D57028" w:sz="2"/>
              <w:right w:val="none" w:color="FFFFFF" w:sz="0"/>
            </w:tcBorders>
            <w:shd w:fill="1B3533" w:val="clear"/>
            <w:tcMar>
              <w:top w:type="dxa" w:w="80"/>
              <w:left w:type="dxa" w:w="120"/>
              <w:bottom w:type="dxa" w:w="80"/>
              <w:right w:type="dxa" w:w="120"/>
            </w:tcMar>
          </w:tcPr>
          <w:p>
            <w:r>
              <w:rPr>
                <w:rFonts w:ascii="Helvetica" w:cs="Helvetica" w:eastAsia="Helvetica" w:hAnsi="Helvetica"/>
                <w:b/>
                <w:bCs/>
                <w:color w:val="FFFFFF"/>
                <w:sz w:val="20"/>
                <w:szCs w:val="20"/>
              </w:rPr>
              <w:t xml:space="preserve">Gap / Advantage</w:t>
            </w:r>
          </w:p>
        </w:tc>
      </w:tr>
      <w:tr>
        <w:tc>
          <w:tcPr>
            <w:tcW w:type="dxa" w:w="234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pPr>
              <w:spacing w:line="260"/>
            </w:pPr>
            <w:r>
              <w:rPr>
                <w:rFonts w:ascii="Helvetica" w:cs="Helvetica" w:eastAsia="Helvetica" w:hAnsi="Helvetica"/>
                <w:b w:val="false"/>
                <w:bCs w:val="false"/>
                <w:color w:val="67441A"/>
                <w:sz w:val="19"/>
                <w:szCs w:val="19"/>
              </w:rPr>
              <w:t xml:space="preserve">Republic, WeFunder, StartEngine</w:t>
            </w:r>
          </w:p>
        </w:tc>
        <w:tc>
          <w:tcPr>
            <w:tcW w:type="dxa" w:w="351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pPr>
              <w:spacing w:line="260"/>
            </w:pPr>
            <w:r>
              <w:rPr>
                <w:rFonts w:ascii="Helvetica" w:cs="Helvetica" w:eastAsia="Helvetica" w:hAnsi="Helvetica"/>
                <w:b w:val="false"/>
                <w:bCs w:val="false"/>
                <w:color w:val="67441A"/>
                <w:sz w:val="19"/>
                <w:szCs w:val="19"/>
              </w:rPr>
              <w:t xml:space="preserve">Transaction platforms for Reg CF raises</w:t>
            </w:r>
          </w:p>
        </w:tc>
        <w:tc>
          <w:tcPr>
            <w:tcW w:type="dxa" w:w="351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pPr>
              <w:spacing w:line="260"/>
            </w:pPr>
            <w:r>
              <w:rPr>
                <w:rFonts w:ascii="Helvetica" w:cs="Helvetica" w:eastAsia="Helvetica" w:hAnsi="Helvetica"/>
                <w:b w:val="false"/>
                <w:bCs w:val="false"/>
                <w:color w:val="67441A"/>
                <w:sz w:val="19"/>
                <w:szCs w:val="19"/>
              </w:rPr>
              <w:t xml:space="preserve">Limited education, community, or founder support; transactional</w:t>
            </w:r>
          </w:p>
        </w:tc>
      </w:tr>
      <w:tr>
        <w:tc>
          <w:tcPr>
            <w:tcW w:type="dxa" w:w="234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pPr>
              <w:spacing w:line="260"/>
            </w:pPr>
            <w:r>
              <w:rPr>
                <w:rFonts w:ascii="Helvetica" w:cs="Helvetica" w:eastAsia="Helvetica" w:hAnsi="Helvetica"/>
                <w:b w:val="false"/>
                <w:bCs w:val="false"/>
                <w:color w:val="67441A"/>
                <w:sz w:val="19"/>
                <w:szCs w:val="19"/>
              </w:rPr>
              <w:t xml:space="preserve">AngelList, Allocations</w:t>
            </w:r>
          </w:p>
        </w:tc>
        <w:tc>
          <w:tcPr>
            <w:tcW w:type="dxa" w:w="351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pPr>
              <w:spacing w:line="260"/>
            </w:pPr>
            <w:r>
              <w:rPr>
                <w:rFonts w:ascii="Helvetica" w:cs="Helvetica" w:eastAsia="Helvetica" w:hAnsi="Helvetica"/>
                <w:b w:val="false"/>
                <w:bCs w:val="false"/>
                <w:color w:val="67441A"/>
                <w:sz w:val="19"/>
                <w:szCs w:val="19"/>
              </w:rPr>
              <w:t xml:space="preserve">Accredited investors and syndicate leads</w:t>
            </w:r>
          </w:p>
        </w:tc>
        <w:tc>
          <w:tcPr>
            <w:tcW w:type="dxa" w:w="351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pPr>
              <w:spacing w:line="260"/>
            </w:pPr>
            <w:r>
              <w:rPr>
                <w:rFonts w:ascii="Helvetica" w:cs="Helvetica" w:eastAsia="Helvetica" w:hAnsi="Helvetica"/>
                <w:b w:val="false"/>
                <w:bCs w:val="false"/>
                <w:color w:val="67441A"/>
                <w:sz w:val="19"/>
                <w:szCs w:val="19"/>
              </w:rPr>
              <w:t xml:space="preserve">Excludes non-accredited investors; narrow investor base</w:t>
            </w:r>
          </w:p>
        </w:tc>
      </w:tr>
      <w:tr>
        <w:tc>
          <w:tcPr>
            <w:tcW w:type="dxa" w:w="234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pPr>
              <w:spacing w:line="260"/>
            </w:pPr>
            <w:r>
              <w:rPr>
                <w:rFonts w:ascii="Helvetica" w:cs="Helvetica" w:eastAsia="Helvetica" w:hAnsi="Helvetica"/>
                <w:b w:val="false"/>
                <w:bCs w:val="false"/>
                <w:color w:val="67441A"/>
                <w:sz w:val="19"/>
                <w:szCs w:val="19"/>
              </w:rPr>
              <w:t xml:space="preserve">Cherub</w:t>
            </w:r>
          </w:p>
        </w:tc>
        <w:tc>
          <w:tcPr>
            <w:tcW w:type="dxa" w:w="351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pPr>
              <w:spacing w:line="260"/>
            </w:pPr>
            <w:r>
              <w:rPr>
                <w:rFonts w:ascii="Helvetica" w:cs="Helvetica" w:eastAsia="Helvetica" w:hAnsi="Helvetica"/>
                <w:b w:val="false"/>
                <w:bCs w:val="false"/>
                <w:color w:val="67441A"/>
                <w:sz w:val="19"/>
                <w:szCs w:val="19"/>
              </w:rPr>
              <w:t xml:space="preserve">Curated angel investor matchmaking ($79/mo)</w:t>
            </w:r>
          </w:p>
        </w:tc>
        <w:tc>
          <w:tcPr>
            <w:tcW w:type="dxa" w:w="351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pPr>
              <w:spacing w:line="260"/>
            </w:pPr>
            <w:r>
              <w:rPr>
                <w:rFonts w:ascii="Helvetica" w:cs="Helvetica" w:eastAsia="Helvetica" w:hAnsi="Helvetica"/>
                <w:b w:val="false"/>
                <w:bCs w:val="false"/>
                <w:color w:val="67441A"/>
                <w:sz w:val="19"/>
                <w:szCs w:val="19"/>
              </w:rPr>
              <w:t xml:space="preserve">Narrow focus on angel matching only; no education, events, or dealflow infrastructure</w:t>
            </w:r>
          </w:p>
        </w:tc>
      </w:tr>
      <w:tr>
        <w:tc>
          <w:tcPr>
            <w:tcW w:type="dxa" w:w="234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pPr>
              <w:spacing w:line="260"/>
            </w:pPr>
            <w:r>
              <w:rPr>
                <w:rFonts w:ascii="Helvetica" w:cs="Helvetica" w:eastAsia="Helvetica" w:hAnsi="Helvetica"/>
                <w:b w:val="false"/>
                <w:bCs w:val="false"/>
                <w:color w:val="67441A"/>
                <w:sz w:val="19"/>
                <w:szCs w:val="19"/>
              </w:rPr>
              <w:t xml:space="preserve">YC, Techstars, etc.</w:t>
            </w:r>
          </w:p>
        </w:tc>
        <w:tc>
          <w:tcPr>
            <w:tcW w:type="dxa" w:w="351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pPr>
              <w:spacing w:line="260"/>
            </w:pPr>
            <w:r>
              <w:rPr>
                <w:rFonts w:ascii="Helvetica" w:cs="Helvetica" w:eastAsia="Helvetica" w:hAnsi="Helvetica"/>
                <w:b w:val="false"/>
                <w:bCs w:val="false"/>
                <w:color w:val="67441A"/>
                <w:sz w:val="19"/>
                <w:szCs w:val="19"/>
              </w:rPr>
              <w:t xml:space="preserve">Intensive programs for high-growth startups</w:t>
            </w:r>
          </w:p>
        </w:tc>
        <w:tc>
          <w:tcPr>
            <w:tcW w:type="dxa" w:w="351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pPr>
              <w:spacing w:line="260"/>
            </w:pPr>
            <w:r>
              <w:rPr>
                <w:rFonts w:ascii="Helvetica" w:cs="Helvetica" w:eastAsia="Helvetica" w:hAnsi="Helvetica"/>
                <w:b w:val="false"/>
                <w:bCs w:val="false"/>
                <w:color w:val="67441A"/>
                <w:sz w:val="19"/>
                <w:szCs w:val="19"/>
              </w:rPr>
              <w:t xml:space="preserve">Highly selective (&lt;3%); no community wealth-building</w:t>
            </w:r>
          </w:p>
        </w:tc>
      </w:tr>
      <w:tr>
        <w:tc>
          <w:tcPr>
            <w:tcW w:type="dxa" w:w="2340"/>
            <w:tcBorders>
              <w:top w:val="single" w:color="D4C5B0" w:sz="1"/>
              <w:left w:val="single" w:color="D4C5B0" w:sz="1"/>
              <w:bottom w:val="single" w:color="D4C5B0" w:sz="1"/>
              <w:right w:val="single" w:color="D4C5B0" w:sz="1"/>
            </w:tcBorders>
            <w:shd w:fill="E8EDE0" w:val="clear"/>
            <w:tcMar>
              <w:top w:type="dxa" w:w="80"/>
              <w:left w:type="dxa" w:w="120"/>
              <w:bottom w:type="dxa" w:w="80"/>
              <w:right w:type="dxa" w:w="120"/>
            </w:tcMar>
          </w:tcPr>
          <w:p>
            <w:pPr>
              <w:spacing w:line="260"/>
            </w:pPr>
            <w:r>
              <w:rPr>
                <w:rFonts w:ascii="Helvetica" w:cs="Helvetica" w:eastAsia="Helvetica" w:hAnsi="Helvetica"/>
                <w:b/>
                <w:bCs/>
                <w:color w:val="67441A"/>
                <w:sz w:val="19"/>
                <w:szCs w:val="19"/>
              </w:rPr>
              <w:t xml:space="preserve">Sengo</w:t>
            </w:r>
          </w:p>
        </w:tc>
        <w:tc>
          <w:tcPr>
            <w:tcW w:type="dxa" w:w="3510"/>
            <w:tcBorders>
              <w:top w:val="single" w:color="D4C5B0" w:sz="1"/>
              <w:left w:val="single" w:color="D4C5B0" w:sz="1"/>
              <w:bottom w:val="single" w:color="D4C5B0" w:sz="1"/>
              <w:right w:val="single" w:color="D4C5B0" w:sz="1"/>
            </w:tcBorders>
            <w:shd w:fill="E8EDE0" w:val="clear"/>
            <w:tcMar>
              <w:top w:type="dxa" w:w="80"/>
              <w:left w:type="dxa" w:w="120"/>
              <w:bottom w:type="dxa" w:w="80"/>
              <w:right w:type="dxa" w:w="120"/>
            </w:tcMar>
          </w:tcPr>
          <w:p>
            <w:pPr>
              <w:spacing w:line="260"/>
            </w:pPr>
            <w:r>
              <w:rPr>
                <w:rFonts w:ascii="Helvetica" w:cs="Helvetica" w:eastAsia="Helvetica" w:hAnsi="Helvetica"/>
                <w:b/>
                <w:bCs/>
                <w:color w:val="67441A"/>
                <w:sz w:val="19"/>
                <w:szCs w:val="19"/>
              </w:rPr>
              <w:t xml:space="preserve">AI + education + community + access for all participants</w:t>
            </w:r>
          </w:p>
        </w:tc>
        <w:tc>
          <w:tcPr>
            <w:tcW w:type="dxa" w:w="3510"/>
            <w:tcBorders>
              <w:top w:val="single" w:color="D4C5B0" w:sz="1"/>
              <w:left w:val="single" w:color="D4C5B0" w:sz="1"/>
              <w:bottom w:val="single" w:color="D4C5B0" w:sz="1"/>
              <w:right w:val="single" w:color="D4C5B0" w:sz="1"/>
            </w:tcBorders>
            <w:shd w:fill="E8EDE0" w:val="clear"/>
            <w:tcMar>
              <w:top w:type="dxa" w:w="80"/>
              <w:left w:type="dxa" w:w="120"/>
              <w:bottom w:type="dxa" w:w="80"/>
              <w:right w:type="dxa" w:w="120"/>
            </w:tcMar>
          </w:tcPr>
          <w:p>
            <w:pPr>
              <w:spacing w:line="260"/>
            </w:pPr>
            <w:r>
              <w:rPr>
                <w:rFonts w:ascii="Helvetica" w:cs="Helvetica" w:eastAsia="Helvetica" w:hAnsi="Helvetica"/>
                <w:b/>
                <w:bCs/>
                <w:color w:val="67441A"/>
                <w:sz w:val="19"/>
                <w:szCs w:val="19"/>
              </w:rPr>
              <w:t xml:space="preserve">Full-stack: AI tools, advisory, events, platform, deal flow</w:t>
            </w:r>
          </w:p>
        </w:tc>
      </w:tr>
    </w:tbl>
    <w:p>
      <w:pPr>
        <w:spacing w:before="120" w:after="0"/>
      </w:pPr>
    </w:p>
    <w:p>
      <w:pPr>
        <w:spacing w:before="240" w:after="100"/>
      </w:pPr>
      <w:r>
        <w:rPr>
          <w:rFonts w:ascii="Arimo" w:cs="Arimo" w:eastAsia="Arimo" w:hAnsi="Arimo"/>
          <w:b/>
          <w:bCs/>
          <w:color w:val="67441A"/>
          <w:sz w:val="24"/>
          <w:szCs w:val="24"/>
        </w:rPr>
        <w:t xml:space="preserve">Sengo’s Competitive Advantages</w:t>
      </w:r>
    </w:p>
    <w:p>
      <w:pPr>
        <w:pStyle w:val="ListParagraph"/>
        <w:numPr>
          <w:ilvl w:val="0"/>
          <w:numId w:val="4"/>
        </w:numPr>
        <w:spacing w:before="40" w:after="40" w:line="276"/>
      </w:pPr>
      <w:r>
        <w:rPr>
          <w:rFonts w:ascii="Helvetica" w:cs="Helvetica" w:eastAsia="Helvetica" w:hAnsi="Helvetica"/>
          <w:color w:val="67441A"/>
          <w:sz w:val="21"/>
          <w:szCs w:val="21"/>
        </w:rPr>
        <w:t xml:space="preserve">Education-First Model: We don’t just facilitate transactions; we build knowledge and confidence through modular learning</w:t>
      </w:r>
    </w:p>
    <w:p>
      <w:pPr>
        <w:pStyle w:val="ListParagraph"/>
        <w:numPr>
          <w:ilvl w:val="0"/>
          <w:numId w:val="4"/>
        </w:numPr>
        <w:spacing w:before="40" w:after="40" w:line="276"/>
      </w:pPr>
      <w:r>
        <w:rPr>
          <w:rFonts w:ascii="Helvetica" w:cs="Helvetica" w:eastAsia="Helvetica" w:hAnsi="Helvetica"/>
          <w:color w:val="67441A"/>
          <w:sz w:val="21"/>
          <w:szCs w:val="21"/>
        </w:rPr>
        <w:t xml:space="preserve">Community Infrastructure: 10,000+ email subscribers, 46.5% open rate (4X industry average), and 30+ events demonstrate genuine engagement</w:t>
      </w:r>
    </w:p>
    <w:p>
      <w:pPr>
        <w:pStyle w:val="ListParagraph"/>
        <w:numPr>
          <w:ilvl w:val="0"/>
          <w:numId w:val="4"/>
        </w:numPr>
        <w:spacing w:before="40" w:after="40" w:line="276"/>
      </w:pPr>
      <w:r>
        <w:rPr>
          <w:rFonts w:ascii="Helvetica" w:cs="Helvetica" w:eastAsia="Helvetica" w:hAnsi="Helvetica"/>
          <w:color w:val="67441A"/>
          <w:sz w:val="21"/>
          <w:szCs w:val="21"/>
        </w:rPr>
        <w:t xml:space="preserve">Focus on Emerging Founders &amp; Everyday Funders: Purpose-built for those new to private markets</w:t>
      </w:r>
    </w:p>
    <w:p>
      <w:pPr>
        <w:pStyle w:val="ListParagraph"/>
        <w:numPr>
          <w:ilvl w:val="0"/>
          <w:numId w:val="4"/>
        </w:numPr>
        <w:spacing w:before="40" w:after="40" w:line="276"/>
      </w:pPr>
      <w:r>
        <w:rPr>
          <w:rFonts w:ascii="Helvetica" w:cs="Helvetica" w:eastAsia="Helvetica" w:hAnsi="Helvetica"/>
          <w:color w:val="67441A"/>
          <w:sz w:val="21"/>
          <w:szCs w:val="21"/>
        </w:rPr>
        <w:t xml:space="preserve">Hybrid Revenue Model: Subscriptions, coaching, events, and B2B partnerships diversify revenue and reduce risk</w:t>
      </w:r>
    </w:p>
    <w:p>
      <w:pPr>
        <w:pStyle w:val="ListParagraph"/>
        <w:numPr>
          <w:ilvl w:val="0"/>
          <w:numId w:val="4"/>
        </w:numPr>
        <w:spacing w:before="40" w:after="40" w:line="276"/>
      </w:pPr>
      <w:r>
        <w:rPr>
          <w:rFonts w:ascii="Helvetica" w:cs="Helvetica" w:eastAsia="Helvetica" w:hAnsi="Helvetica"/>
          <w:color w:val="67441A"/>
          <w:sz w:val="21"/>
          <w:szCs w:val="21"/>
        </w:rPr>
        <w:t xml:space="preserve">Scalable Coaching Programs: Structured programs producing a 167X multiplier on deployed funds</w:t>
      </w:r>
    </w:p>
    <w:p>
      <w:pPr>
        <w:pStyle w:val="ListParagraph"/>
        <w:numPr>
          <w:ilvl w:val="0"/>
          <w:numId w:val="4"/>
        </w:numPr>
        <w:spacing w:before="40" w:after="40" w:line="276"/>
      </w:pPr>
      <w:r>
        <w:rPr>
          <w:rFonts w:ascii="Helvetica" w:cs="Helvetica" w:eastAsia="Helvetica" w:hAnsi="Helvetica"/>
          <w:color w:val="67441A"/>
          <w:sz w:val="21"/>
          <w:szCs w:val="21"/>
        </w:rPr>
        <w:t xml:space="preserve">Culture x Capital: Events like Fashion x Futures create belonging that pure-tech platforms can’t replicate</w:t>
      </w:r>
    </w:p>
    <w:p>
      <w:pPr>
        <w:spacing w:before="60" w:after="0"/>
      </w:pPr>
    </w:p>
    <w:p>
      <w:pPr>
        <w:shd w:fill="F3EDE7" w:val="clear"/>
        <w:spacing w:before="80" w:after="80"/>
        <w:ind w:left="200" w:right="200"/>
      </w:pPr>
      <w:r>
        <w:rPr>
          <w:rFonts w:ascii="Helvetica" w:cs="Helvetica" w:eastAsia="Helvetica" w:hAnsi="Helvetica"/>
          <w:i/>
          <w:iCs/>
          <w:color w:val="1B3533"/>
          <w:sz w:val="21"/>
          <w:szCs w:val="21"/>
        </w:rPr>
        <w:t xml:space="preserve">Key Differentiator: Sengo layers AI-powered tools on top of community trust and relationships—a combination no competitor has. AI enhances the human infrastructure; the human infrastructure makes the AI valuable.</w:t>
      </w:r>
    </w:p>
    <w:p>
      <w:r>
        <w:br w:type="page"/>
      </w:r>
    </w:p>
    <w:p>
      <w:pPr>
        <w:spacing w:before="360" w:after="60"/>
      </w:pPr>
      <w:r>
        <w:rPr>
          <w:rFonts w:ascii="Arimo" w:cs="Arimo" w:eastAsia="Arimo" w:hAnsi="Arimo"/>
          <w:b/>
          <w:bCs/>
          <w:color w:val="1B3533"/>
          <w:sz w:val="28"/>
          <w:szCs w:val="28"/>
        </w:rPr>
        <w:t xml:space="preserve">FINANCIAL PERFORMANCE &amp; PROJECTIONS</w:t>
      </w:r>
    </w:p>
    <w:p>
      <w:pPr>
        <w:pBdr>
          <w:bottom w:val="single" w:color="D57028" w:sz="4" w:space="8"/>
        </w:pBdr>
        <w:spacing w:before="200" w:after="200"/>
      </w:pPr>
    </w:p>
    <w:p>
      <w:pPr>
        <w:spacing w:before="240" w:after="100"/>
      </w:pPr>
      <w:r>
        <w:rPr>
          <w:rFonts w:ascii="Arimo" w:cs="Arimo" w:eastAsia="Arimo" w:hAnsi="Arimo"/>
          <w:b/>
          <w:bCs/>
          <w:color w:val="67441A"/>
          <w:sz w:val="24"/>
          <w:szCs w:val="24"/>
        </w:rPr>
        <w:t xml:space="preserve">Historical Performance (Actual)</w:t>
      </w:r>
    </w:p>
    <w:p>
      <w:pPr>
        <w:spacing w:before="60" w:after="60" w:line="276"/>
        <w:jc w:val="left"/>
      </w:pPr>
      <w:r>
        <w:rPr>
          <w:rFonts w:ascii="Helvetica" w:cs="Helvetica" w:eastAsia="Helvetica" w:hAnsi="Helvetica"/>
          <w:color w:val="67441A"/>
          <w:sz w:val="21"/>
          <w:szCs w:val="21"/>
        </w:rPr>
        <w:t xml:space="preserve">Sengo achieved 4X revenue growth from 2024 to 2025 while reaching profitability—all bootstrapped, with zero outside capital.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none" w:color="FFFFFF" w:sz="0"/>
              <w:left w:val="none" w:color="FFFFFF" w:sz="0"/>
              <w:bottom w:val="single" w:color="D57028" w:sz="2"/>
              <w:right w:val="none" w:color="FFFFFF" w:sz="0"/>
            </w:tcBorders>
            <w:shd w:fill="1B3533" w:val="clear"/>
            <w:tcMar>
              <w:top w:type="dxa" w:w="80"/>
              <w:left w:type="dxa" w:w="120"/>
              <w:bottom w:type="dxa" w:w="80"/>
              <w:right w:type="dxa" w:w="120"/>
            </w:tcMar>
          </w:tcPr>
          <w:p>
            <w:pPr>
              <w:jc w:val="left"/>
            </w:pPr>
            <w:r>
              <w:rPr>
                <w:rFonts w:ascii="Helvetica" w:cs="Helvetica" w:eastAsia="Helvetica" w:hAnsi="Helvetica"/>
                <w:b/>
                <w:bCs/>
                <w:color w:val="FFFFFF"/>
                <w:sz w:val="20"/>
                <w:szCs w:val="20"/>
              </w:rPr>
              <w:t xml:space="preserve"/>
            </w:r>
          </w:p>
        </w:tc>
        <w:tc>
          <w:tcPr>
            <w:tcW w:type="dxa" w:w="2930"/>
            <w:tcBorders>
              <w:top w:val="none" w:color="FFFFFF" w:sz="0"/>
              <w:left w:val="none" w:color="FFFFFF" w:sz="0"/>
              <w:bottom w:val="single" w:color="D57028" w:sz="2"/>
              <w:right w:val="none" w:color="FFFFFF" w:sz="0"/>
            </w:tcBorders>
            <w:shd w:fill="1B3533" w:val="clear"/>
            <w:tcMar>
              <w:top w:type="dxa" w:w="80"/>
              <w:left w:type="dxa" w:w="120"/>
              <w:bottom w:type="dxa" w:w="80"/>
              <w:right w:type="dxa" w:w="120"/>
            </w:tcMar>
          </w:tcPr>
          <w:p>
            <w:pPr>
              <w:jc w:val="right"/>
            </w:pPr>
            <w:r>
              <w:rPr>
                <w:rFonts w:ascii="Helvetica" w:cs="Helvetica" w:eastAsia="Helvetica" w:hAnsi="Helvetica"/>
                <w:b/>
                <w:bCs/>
                <w:color w:val="FFFFFF"/>
                <w:sz w:val="20"/>
                <w:szCs w:val="20"/>
              </w:rPr>
              <w:t xml:space="preserve">2024 (Actual)</w:t>
            </w:r>
          </w:p>
        </w:tc>
        <w:tc>
          <w:tcPr>
            <w:tcW w:type="dxa" w:w="2930"/>
            <w:tcBorders>
              <w:top w:val="none" w:color="FFFFFF" w:sz="0"/>
              <w:left w:val="none" w:color="FFFFFF" w:sz="0"/>
              <w:bottom w:val="single" w:color="D57028" w:sz="2"/>
              <w:right w:val="none" w:color="FFFFFF" w:sz="0"/>
            </w:tcBorders>
            <w:shd w:fill="1B3533" w:val="clear"/>
            <w:tcMar>
              <w:top w:type="dxa" w:w="80"/>
              <w:left w:type="dxa" w:w="120"/>
              <w:bottom w:type="dxa" w:w="80"/>
              <w:right w:type="dxa" w:w="120"/>
            </w:tcMar>
          </w:tcPr>
          <w:p>
            <w:pPr>
              <w:jc w:val="right"/>
            </w:pPr>
            <w:r>
              <w:rPr>
                <w:rFonts w:ascii="Helvetica" w:cs="Helvetica" w:eastAsia="Helvetica" w:hAnsi="Helvetica"/>
                <w:b/>
                <w:bCs/>
                <w:color w:val="FFFFFF"/>
                <w:sz w:val="20"/>
                <w:szCs w:val="20"/>
              </w:rPr>
              <w:t xml:space="preserve">2025 (Actual)</w:t>
            </w:r>
          </w:p>
        </w:tc>
      </w:tr>
      <w:tr>
        <w:tc>
          <w:tcPr>
            <w:tcW w:type="dxa" w:w="350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Events &amp; Sales</w:t>
            </w:r>
          </w:p>
        </w:tc>
        <w:tc>
          <w:tcPr>
            <w:tcW w:type="dxa" w:w="293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$32,352</w:t>
            </w:r>
          </w:p>
        </w:tc>
        <w:tc>
          <w:tcPr>
            <w:tcW w:type="dxa" w:w="293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$73,890</w:t>
            </w:r>
          </w:p>
        </w:tc>
      </w:tr>
      <w:tr>
        <w:tc>
          <w:tcPr>
            <w:tcW w:type="dxa" w:w="350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Services &amp; Consulting</w:t>
            </w:r>
          </w:p>
        </w:tc>
        <w:tc>
          <w:tcPr>
            <w:tcW w:type="dxa" w:w="293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$20,667</w:t>
            </w:r>
          </w:p>
        </w:tc>
        <w:tc>
          <w:tcPr>
            <w:tcW w:type="dxa" w:w="293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$48,405</w:t>
            </w:r>
          </w:p>
        </w:tc>
      </w:tr>
      <w:tr>
        <w:tc>
          <w:tcPr>
            <w:tcW w:type="dxa" w:w="350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SaaS Subscriptions</w:t>
            </w:r>
          </w:p>
        </w:tc>
        <w:tc>
          <w:tcPr>
            <w:tcW w:type="dxa" w:w="293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w:t>
            </w:r>
          </w:p>
        </w:tc>
        <w:tc>
          <w:tcPr>
            <w:tcW w:type="dxa" w:w="293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$18,230</w:t>
            </w:r>
          </w:p>
        </w:tc>
      </w:tr>
      <w:tr>
        <w:tc>
          <w:tcPr>
            <w:tcW w:type="dxa" w:w="350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Coaching Programs</w:t>
            </w:r>
          </w:p>
        </w:tc>
        <w:tc>
          <w:tcPr>
            <w:tcW w:type="dxa" w:w="293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w:t>
            </w:r>
          </w:p>
        </w:tc>
        <w:tc>
          <w:tcPr>
            <w:tcW w:type="dxa" w:w="293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$2,000</w:t>
            </w:r>
          </w:p>
        </w:tc>
      </w:tr>
      <w:tr>
        <w:tc>
          <w:tcPr>
            <w:tcW w:type="dxa" w:w="350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Grants</w:t>
            </w:r>
          </w:p>
        </w:tc>
        <w:tc>
          <w:tcPr>
            <w:tcW w:type="dxa" w:w="293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w:t>
            </w:r>
          </w:p>
        </w:tc>
        <w:tc>
          <w:tcPr>
            <w:tcW w:type="dxa" w:w="293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$37,156</w:t>
            </w:r>
          </w:p>
        </w:tc>
      </w:tr>
      <w:tr>
        <w:tc>
          <w:tcPr>
            <w:tcW w:type="dxa" w:w="350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r>
              <w:rPr>
                <w:rFonts w:ascii="Helvetica" w:cs="Helvetica" w:eastAsia="Helvetica" w:hAnsi="Helvetica"/>
                <w:b/>
                <w:bCs/>
                <w:color w:val="67441A"/>
                <w:sz w:val="19"/>
                <w:szCs w:val="19"/>
              </w:rPr>
              <w:t xml:space="preserve">Total Revenue</w:t>
            </w:r>
          </w:p>
        </w:tc>
        <w:tc>
          <w:tcPr>
            <w:tcW w:type="dxa" w:w="293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pPr>
              <w:jc w:val="right"/>
            </w:pPr>
            <w:r>
              <w:rPr>
                <w:rFonts w:ascii="Helvetica" w:cs="Helvetica" w:eastAsia="Helvetica" w:hAnsi="Helvetica"/>
                <w:b/>
                <w:bCs/>
                <w:color w:val="D57028"/>
                <w:sz w:val="19"/>
                <w:szCs w:val="19"/>
              </w:rPr>
              <w:t xml:space="preserve">$53,018</w:t>
            </w:r>
          </w:p>
        </w:tc>
        <w:tc>
          <w:tcPr>
            <w:tcW w:type="dxa" w:w="293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pPr>
              <w:jc w:val="right"/>
            </w:pPr>
            <w:r>
              <w:rPr>
                <w:rFonts w:ascii="Helvetica" w:cs="Helvetica" w:eastAsia="Helvetica" w:hAnsi="Helvetica"/>
                <w:b/>
                <w:bCs/>
                <w:color w:val="D57028"/>
                <w:sz w:val="19"/>
                <w:szCs w:val="19"/>
              </w:rPr>
              <w:t xml:space="preserve">$178,173</w:t>
            </w:r>
          </w:p>
        </w:tc>
      </w:tr>
      <w:tr>
        <w:tc>
          <w:tcPr>
            <w:tcW w:type="dxa" w:w="350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Cost of Goods Sold</w:t>
            </w:r>
          </w:p>
        </w:tc>
        <w:tc>
          <w:tcPr>
            <w:tcW w:type="dxa" w:w="293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($432)</w:t>
            </w:r>
          </w:p>
        </w:tc>
        <w:tc>
          <w:tcPr>
            <w:tcW w:type="dxa" w:w="293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($23,711)</w:t>
            </w:r>
          </w:p>
        </w:tc>
      </w:tr>
      <w:tr>
        <w:tc>
          <w:tcPr>
            <w:tcW w:type="dxa" w:w="350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r>
              <w:rPr>
                <w:rFonts w:ascii="Helvetica" w:cs="Helvetica" w:eastAsia="Helvetica" w:hAnsi="Helvetica"/>
                <w:b/>
                <w:bCs/>
                <w:color w:val="67441A"/>
                <w:sz w:val="19"/>
                <w:szCs w:val="19"/>
              </w:rPr>
              <w:t xml:space="preserve">Gross Profit</w:t>
            </w:r>
          </w:p>
        </w:tc>
        <w:tc>
          <w:tcPr>
            <w:tcW w:type="dxa" w:w="293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pPr>
              <w:jc w:val="right"/>
            </w:pPr>
            <w:r>
              <w:rPr>
                <w:rFonts w:ascii="Helvetica" w:cs="Helvetica" w:eastAsia="Helvetica" w:hAnsi="Helvetica"/>
                <w:b/>
                <w:bCs/>
                <w:color w:val="D57028"/>
                <w:sz w:val="19"/>
                <w:szCs w:val="19"/>
              </w:rPr>
              <w:t xml:space="preserve">$52,586</w:t>
            </w:r>
          </w:p>
        </w:tc>
        <w:tc>
          <w:tcPr>
            <w:tcW w:type="dxa" w:w="293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pPr>
              <w:jc w:val="right"/>
            </w:pPr>
            <w:r>
              <w:rPr>
                <w:rFonts w:ascii="Helvetica" w:cs="Helvetica" w:eastAsia="Helvetica" w:hAnsi="Helvetica"/>
                <w:b/>
                <w:bCs/>
                <w:color w:val="D57028"/>
                <w:sz w:val="19"/>
                <w:szCs w:val="19"/>
              </w:rPr>
              <w:t xml:space="preserve">$192,496</w:t>
            </w:r>
          </w:p>
        </w:tc>
      </w:tr>
      <w:tr>
        <w:tc>
          <w:tcPr>
            <w:tcW w:type="dxa" w:w="350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Gross Margin</w:t>
            </w:r>
          </w:p>
        </w:tc>
        <w:tc>
          <w:tcPr>
            <w:tcW w:type="dxa" w:w="293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99.2%</w:t>
            </w:r>
          </w:p>
        </w:tc>
        <w:tc>
          <w:tcPr>
            <w:tcW w:type="dxa" w:w="293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86.7%</w:t>
            </w:r>
          </w:p>
        </w:tc>
      </w:tr>
      <w:tr>
        <w:tc>
          <w:tcPr>
            <w:tcW w:type="dxa" w:w="350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Total Operating Expenses</w:t>
            </w:r>
          </w:p>
        </w:tc>
        <w:tc>
          <w:tcPr>
            <w:tcW w:type="dxa" w:w="293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($53,967)</w:t>
            </w:r>
          </w:p>
        </w:tc>
        <w:tc>
          <w:tcPr>
            <w:tcW w:type="dxa" w:w="293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($96,272)</w:t>
            </w:r>
          </w:p>
        </w:tc>
      </w:tr>
      <w:tr>
        <w:tc>
          <w:tcPr>
            <w:tcW w:type="dxa" w:w="350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r>
              <w:rPr>
                <w:rFonts w:ascii="Helvetica" w:cs="Helvetica" w:eastAsia="Helvetica" w:hAnsi="Helvetica"/>
                <w:b/>
                <w:bCs/>
                <w:color w:val="67441A"/>
                <w:sz w:val="19"/>
                <w:szCs w:val="19"/>
              </w:rPr>
              <w:t xml:space="preserve">Net Income</w:t>
            </w:r>
          </w:p>
        </w:tc>
        <w:tc>
          <w:tcPr>
            <w:tcW w:type="dxa" w:w="293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pPr>
              <w:jc w:val="right"/>
            </w:pPr>
            <w:r>
              <w:rPr>
                <w:rFonts w:ascii="Helvetica" w:cs="Helvetica" w:eastAsia="Helvetica" w:hAnsi="Helvetica"/>
                <w:b/>
                <w:bCs/>
                <w:color w:val="D57028"/>
                <w:sz w:val="19"/>
                <w:szCs w:val="19"/>
              </w:rPr>
              <w:t xml:space="preserve">($1,481)</w:t>
            </w:r>
          </w:p>
        </w:tc>
        <w:tc>
          <w:tcPr>
            <w:tcW w:type="dxa" w:w="293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pPr>
              <w:jc w:val="right"/>
            </w:pPr>
            <w:r>
              <w:rPr>
                <w:rFonts w:ascii="Helvetica" w:cs="Helvetica" w:eastAsia="Helvetica" w:hAnsi="Helvetica"/>
                <w:b/>
                <w:bCs/>
                <w:color w:val="D57028"/>
                <w:sz w:val="19"/>
                <w:szCs w:val="19"/>
              </w:rPr>
              <w:t xml:space="preserve">$91,963</w:t>
            </w:r>
          </w:p>
        </w:tc>
      </w:tr>
      <w:tr>
        <w:tc>
          <w:tcPr>
            <w:tcW w:type="dxa" w:w="350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Net Margin</w:t>
            </w:r>
          </w:p>
        </w:tc>
        <w:tc>
          <w:tcPr>
            <w:tcW w:type="dxa" w:w="293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-2.8%</w:t>
            </w:r>
          </w:p>
        </w:tc>
        <w:tc>
          <w:tcPr>
            <w:tcW w:type="dxa" w:w="293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pPr>
              <w:jc w:val="right"/>
            </w:pPr>
            <w:r>
              <w:rPr>
                <w:rFonts w:ascii="Helvetica" w:cs="Helvetica" w:eastAsia="Helvetica" w:hAnsi="Helvetica"/>
                <w:b w:val="false"/>
                <w:bCs w:val="false"/>
                <w:color w:val="67441A"/>
                <w:sz w:val="19"/>
                <w:szCs w:val="19"/>
              </w:rPr>
              <w:t xml:space="preserve">32.5%</w:t>
            </w:r>
          </w:p>
        </w:tc>
      </w:tr>
    </w:tbl>
    <w:p>
      <w:pPr>
        <w:spacing w:before="60" w:after="0"/>
      </w:pPr>
    </w:p>
    <w:p>
      <w:pPr>
        <w:shd w:fill="F3EDE7" w:val="clear"/>
        <w:spacing w:before="80" w:after="80"/>
        <w:ind w:left="200" w:right="200"/>
      </w:pPr>
      <w:r>
        <w:rPr>
          <w:rFonts w:ascii="Helvetica" w:cs="Helvetica" w:eastAsia="Helvetica" w:hAnsi="Helvetica"/>
          <w:i/>
          <w:iCs/>
          <w:color w:val="1B3533"/>
          <w:sz w:val="20"/>
          <w:szCs w:val="20"/>
        </w:rPr>
        <w:t xml:space="preserve">Key insight: Revenue grew 3.4X year-over-year ($53K → $178K) while achieving 33% net margins—demonstrating both growth velocity and capital efficiency. Events &amp; Sales more than doubled, and multiple new revenue streams (SaaS, coaching, grants) came online in 2025.</w:t>
      </w:r>
    </w:p>
    <w:p>
      <w:pPr>
        <w:spacing w:before="120" w:after="0"/>
      </w:pPr>
    </w:p>
    <w:p>
      <w:pPr>
        <w:spacing w:before="240" w:after="100"/>
      </w:pPr>
      <w:r>
        <w:rPr>
          <w:rFonts w:ascii="Arimo" w:cs="Arimo" w:eastAsia="Arimo" w:hAnsi="Arimo"/>
          <w:b/>
          <w:bCs/>
          <w:color w:val="67441A"/>
          <w:sz w:val="24"/>
          <w:szCs w:val="24"/>
        </w:rPr>
        <w:t xml:space="preserve">Current Run Rate (March 2026)</w:t>
      </w:r>
    </w:p>
    <w:p>
      <w:pPr>
        <w:spacing w:before="60" w:after="60" w:line="276"/>
        <w:jc w:val="left"/>
      </w:pPr>
      <w:r>
        <w:rPr>
          <w:rFonts w:ascii="Helvetica" w:cs="Helvetica" w:eastAsia="Helvetica" w:hAnsi="Helvetica"/>
          <w:color w:val="67441A"/>
          <w:sz w:val="21"/>
          <w:szCs w:val="21"/>
        </w:rPr>
        <w:t xml:space="preserve">As of March 2026, Sengo generates $5,886 in monthly recurring revenue across subscriptions and coaching programs: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400"/>
        <w:gridCol w:w="1560"/>
      </w:tblGrid>
      <w:tr>
        <w:tc>
          <w:tcPr>
            <w:tcW w:type="dxa" w:w="3200"/>
            <w:tcBorders>
              <w:top w:val="none" w:color="FFFFFF" w:sz="0"/>
              <w:left w:val="none" w:color="FFFFFF" w:sz="0"/>
              <w:bottom w:val="single" w:color="D57028" w:sz="2"/>
              <w:right w:val="none" w:color="FFFFFF" w:sz="0"/>
            </w:tcBorders>
            <w:shd w:fill="1B3533" w:val="clear"/>
            <w:tcMar>
              <w:top w:type="dxa" w:w="60"/>
              <w:left w:type="dxa" w:w="100"/>
              <w:bottom w:type="dxa" w:w="60"/>
              <w:right w:type="dxa" w:w="100"/>
            </w:tcMar>
          </w:tcPr>
          <w:p>
            <w:pPr>
              <w:jc w:val="center"/>
            </w:pPr>
            <w:r>
              <w:rPr>
                <w:rFonts w:ascii="Helvetica" w:cs="Helvetica" w:eastAsia="Helvetica" w:hAnsi="Helvetica"/>
                <w:b/>
                <w:bCs/>
                <w:color w:val="FFFFFF"/>
                <w:sz w:val="18"/>
                <w:szCs w:val="18"/>
              </w:rPr>
              <w:t xml:space="preserve">Revenue Stream</w:t>
            </w:r>
          </w:p>
        </w:tc>
        <w:tc>
          <w:tcPr>
            <w:tcW w:type="dxa" w:w="1600"/>
            <w:tcBorders>
              <w:top w:val="none" w:color="FFFFFF" w:sz="0"/>
              <w:left w:val="none" w:color="FFFFFF" w:sz="0"/>
              <w:bottom w:val="single" w:color="D57028" w:sz="2"/>
              <w:right w:val="none" w:color="FFFFFF" w:sz="0"/>
            </w:tcBorders>
            <w:shd w:fill="1B3533" w:val="clear"/>
            <w:tcMar>
              <w:top w:type="dxa" w:w="60"/>
              <w:left w:type="dxa" w:w="100"/>
              <w:bottom w:type="dxa" w:w="60"/>
              <w:right w:type="dxa" w:w="100"/>
            </w:tcMar>
          </w:tcPr>
          <w:p>
            <w:pPr>
              <w:jc w:val="center"/>
            </w:pPr>
            <w:r>
              <w:rPr>
                <w:rFonts w:ascii="Helvetica" w:cs="Helvetica" w:eastAsia="Helvetica" w:hAnsi="Helvetica"/>
                <w:b/>
                <w:bCs/>
                <w:color w:val="FFFFFF"/>
                <w:sz w:val="18"/>
                <w:szCs w:val="18"/>
              </w:rPr>
              <w:t xml:space="preserve">Count</w:t>
            </w:r>
          </w:p>
        </w:tc>
        <w:tc>
          <w:tcPr>
            <w:tcW w:type="dxa" w:w="1600"/>
            <w:tcBorders>
              <w:top w:val="none" w:color="FFFFFF" w:sz="0"/>
              <w:left w:val="none" w:color="FFFFFF" w:sz="0"/>
              <w:bottom w:val="single" w:color="D57028" w:sz="2"/>
              <w:right w:val="none" w:color="FFFFFF" w:sz="0"/>
            </w:tcBorders>
            <w:shd w:fill="1B3533" w:val="clear"/>
            <w:tcMar>
              <w:top w:type="dxa" w:w="60"/>
              <w:left w:type="dxa" w:w="100"/>
              <w:bottom w:type="dxa" w:w="60"/>
              <w:right w:type="dxa" w:w="100"/>
            </w:tcMar>
          </w:tcPr>
          <w:p>
            <w:pPr>
              <w:jc w:val="center"/>
            </w:pPr>
            <w:r>
              <w:rPr>
                <w:rFonts w:ascii="Helvetica" w:cs="Helvetica" w:eastAsia="Helvetica" w:hAnsi="Helvetica"/>
                <w:b/>
                <w:bCs/>
                <w:color w:val="FFFFFF"/>
                <w:sz w:val="18"/>
                <w:szCs w:val="18"/>
              </w:rPr>
              <w:t xml:space="preserve">MRR</w:t>
            </w:r>
          </w:p>
        </w:tc>
        <w:tc>
          <w:tcPr>
            <w:tcW w:type="dxa" w:w="1560"/>
            <w:tcBorders>
              <w:top w:val="none" w:color="FFFFFF" w:sz="0"/>
              <w:left w:val="none" w:color="FFFFFF" w:sz="0"/>
              <w:bottom w:val="single" w:color="D57028" w:sz="2"/>
              <w:right w:val="none" w:color="FFFFFF" w:sz="0"/>
            </w:tcBorders>
            <w:shd w:fill="1B3533" w:val="clear"/>
            <w:tcMar>
              <w:top w:type="dxa" w:w="60"/>
              <w:left w:type="dxa" w:w="100"/>
              <w:bottom w:type="dxa" w:w="60"/>
              <w:right w:type="dxa" w:w="100"/>
            </w:tcMar>
          </w:tcPr>
          <w:p>
            <w:pPr>
              <w:jc w:val="center"/>
            </w:pPr>
            <w:r>
              <w:rPr>
                <w:rFonts w:ascii="Helvetica" w:cs="Helvetica" w:eastAsia="Helvetica" w:hAnsi="Helvetica"/>
                <w:b/>
                <w:bCs/>
                <w:color w:val="FFFFFF"/>
                <w:sz w:val="18"/>
                <w:szCs w:val="18"/>
              </w:rPr>
              <w:t xml:space="preserve">ARR</w:t>
            </w:r>
          </w:p>
        </w:tc>
      </w:tr>
      <w:tr>
        <w:tc>
          <w:tcPr>
            <w:tcW w:type="dxa" w:w="320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r>
              <w:rPr>
                <w:rFonts w:ascii="Helvetica" w:cs="Helvetica" w:eastAsia="Helvetica" w:hAnsi="Helvetica"/>
                <w:b w:val="false"/>
                <w:bCs w:val="false"/>
                <w:color w:val="67441A"/>
                <w:sz w:val="18"/>
                <w:szCs w:val="18"/>
              </w:rPr>
              <w:t xml:space="preserve">Legacy Founders ($7/mo)</w:t>
            </w:r>
          </w:p>
        </w:tc>
        <w:tc>
          <w:tcPr>
            <w:tcW w:type="dxa" w:w="160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13</w:t>
            </w:r>
          </w:p>
        </w:tc>
        <w:tc>
          <w:tcPr>
            <w:tcW w:type="dxa" w:w="160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$91</w:t>
            </w:r>
          </w:p>
        </w:tc>
        <w:tc>
          <w:tcPr>
            <w:tcW w:type="dxa" w:w="156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$1,092</w:t>
            </w:r>
          </w:p>
        </w:tc>
      </w:tr>
      <w:tr>
        <w:tc>
          <w:tcPr>
            <w:tcW w:type="dxa" w:w="3200"/>
            <w:tcBorders>
              <w:top w:val="single" w:color="D4C5B0" w:sz="1"/>
              <w:left w:val="single" w:color="D4C5B0" w:sz="1"/>
              <w:bottom w:val="single" w:color="D4C5B0" w:sz="1"/>
              <w:right w:val="single" w:color="D4C5B0" w:sz="1"/>
            </w:tcBorders>
            <w:shd w:fill="FFFFFF" w:val="clear"/>
            <w:tcMar>
              <w:top w:type="dxa" w:w="60"/>
              <w:left w:type="dxa" w:w="100"/>
              <w:bottom w:type="dxa" w:w="60"/>
              <w:right w:type="dxa" w:w="100"/>
            </w:tcMar>
          </w:tcPr>
          <w:p>
            <w:r>
              <w:rPr>
                <w:rFonts w:ascii="Helvetica" w:cs="Helvetica" w:eastAsia="Helvetica" w:hAnsi="Helvetica"/>
                <w:b w:val="false"/>
                <w:bCs w:val="false"/>
                <w:color w:val="67441A"/>
                <w:sz w:val="18"/>
                <w:szCs w:val="18"/>
              </w:rPr>
              <w:t xml:space="preserve">Founder Tier ($15/mo)</w:t>
            </w:r>
          </w:p>
        </w:tc>
        <w:tc>
          <w:tcPr>
            <w:tcW w:type="dxa" w:w="1600"/>
            <w:tcBorders>
              <w:top w:val="single" w:color="D4C5B0" w:sz="1"/>
              <w:left w:val="single" w:color="D4C5B0" w:sz="1"/>
              <w:bottom w:val="single" w:color="D4C5B0" w:sz="1"/>
              <w:right w:val="single" w:color="D4C5B0" w:sz="1"/>
            </w:tcBorders>
            <w:shd w:fill="FFFFFF"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112</w:t>
            </w:r>
          </w:p>
        </w:tc>
        <w:tc>
          <w:tcPr>
            <w:tcW w:type="dxa" w:w="1600"/>
            <w:tcBorders>
              <w:top w:val="single" w:color="D4C5B0" w:sz="1"/>
              <w:left w:val="single" w:color="D4C5B0" w:sz="1"/>
              <w:bottom w:val="single" w:color="D4C5B0" w:sz="1"/>
              <w:right w:val="single" w:color="D4C5B0" w:sz="1"/>
            </w:tcBorders>
            <w:shd w:fill="FFFFFF"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$1,680</w:t>
            </w:r>
          </w:p>
        </w:tc>
        <w:tc>
          <w:tcPr>
            <w:tcW w:type="dxa" w:w="1560"/>
            <w:tcBorders>
              <w:top w:val="single" w:color="D4C5B0" w:sz="1"/>
              <w:left w:val="single" w:color="D4C5B0" w:sz="1"/>
              <w:bottom w:val="single" w:color="D4C5B0" w:sz="1"/>
              <w:right w:val="single" w:color="D4C5B0" w:sz="1"/>
            </w:tcBorders>
            <w:shd w:fill="FFFFFF"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$20,160</w:t>
            </w:r>
          </w:p>
        </w:tc>
      </w:tr>
      <w:tr>
        <w:tc>
          <w:tcPr>
            <w:tcW w:type="dxa" w:w="320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r>
              <w:rPr>
                <w:rFonts w:ascii="Helvetica" w:cs="Helvetica" w:eastAsia="Helvetica" w:hAnsi="Helvetica"/>
                <w:b w:val="false"/>
                <w:bCs w:val="false"/>
                <w:color w:val="67441A"/>
                <w:sz w:val="18"/>
                <w:szCs w:val="18"/>
              </w:rPr>
              <w:t xml:space="preserve">Investor Tier ($10/mo)</w:t>
            </w:r>
          </w:p>
        </w:tc>
        <w:tc>
          <w:tcPr>
            <w:tcW w:type="dxa" w:w="160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4</w:t>
            </w:r>
          </w:p>
        </w:tc>
        <w:tc>
          <w:tcPr>
            <w:tcW w:type="dxa" w:w="160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$40</w:t>
            </w:r>
          </w:p>
        </w:tc>
        <w:tc>
          <w:tcPr>
            <w:tcW w:type="dxa" w:w="156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$480</w:t>
            </w:r>
          </w:p>
        </w:tc>
      </w:tr>
      <w:tr>
        <w:tc>
          <w:tcPr>
            <w:tcW w:type="dxa" w:w="3200"/>
            <w:tcBorders>
              <w:top w:val="single" w:color="D4C5B0" w:sz="1"/>
              <w:left w:val="single" w:color="D4C5B0" w:sz="1"/>
              <w:bottom w:val="single" w:color="D4C5B0" w:sz="1"/>
              <w:right w:val="single" w:color="D4C5B0" w:sz="1"/>
            </w:tcBorders>
            <w:shd w:fill="FFFFFF" w:val="clear"/>
            <w:tcMar>
              <w:top w:type="dxa" w:w="60"/>
              <w:left w:type="dxa" w:w="100"/>
              <w:bottom w:type="dxa" w:w="60"/>
              <w:right w:type="dxa" w:w="100"/>
            </w:tcMar>
          </w:tcPr>
          <w:p>
            <w:r>
              <w:rPr>
                <w:rFonts w:ascii="Helvetica" w:cs="Helvetica" w:eastAsia="Helvetica" w:hAnsi="Helvetica"/>
                <w:b w:val="false"/>
                <w:bCs w:val="false"/>
                <w:color w:val="67441A"/>
                <w:sz w:val="18"/>
                <w:szCs w:val="18"/>
              </w:rPr>
              <w:t xml:space="preserve">All Access ($25/mo)</w:t>
            </w:r>
          </w:p>
        </w:tc>
        <w:tc>
          <w:tcPr>
            <w:tcW w:type="dxa" w:w="1600"/>
            <w:tcBorders>
              <w:top w:val="single" w:color="D4C5B0" w:sz="1"/>
              <w:left w:val="single" w:color="D4C5B0" w:sz="1"/>
              <w:bottom w:val="single" w:color="D4C5B0" w:sz="1"/>
              <w:right w:val="single" w:color="D4C5B0" w:sz="1"/>
            </w:tcBorders>
            <w:shd w:fill="FFFFFF"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3</w:t>
            </w:r>
          </w:p>
        </w:tc>
        <w:tc>
          <w:tcPr>
            <w:tcW w:type="dxa" w:w="1600"/>
            <w:tcBorders>
              <w:top w:val="single" w:color="D4C5B0" w:sz="1"/>
              <w:left w:val="single" w:color="D4C5B0" w:sz="1"/>
              <w:bottom w:val="single" w:color="D4C5B0" w:sz="1"/>
              <w:right w:val="single" w:color="D4C5B0" w:sz="1"/>
            </w:tcBorders>
            <w:shd w:fill="FFFFFF"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$75</w:t>
            </w:r>
          </w:p>
        </w:tc>
        <w:tc>
          <w:tcPr>
            <w:tcW w:type="dxa" w:w="1560"/>
            <w:tcBorders>
              <w:top w:val="single" w:color="D4C5B0" w:sz="1"/>
              <w:left w:val="single" w:color="D4C5B0" w:sz="1"/>
              <w:bottom w:val="single" w:color="D4C5B0" w:sz="1"/>
              <w:right w:val="single" w:color="D4C5B0" w:sz="1"/>
            </w:tcBorders>
            <w:shd w:fill="FFFFFF"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$900</w:t>
            </w:r>
          </w:p>
        </w:tc>
      </w:tr>
      <w:tr>
        <w:tc>
          <w:tcPr>
            <w:tcW w:type="dxa" w:w="320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r>
              <w:rPr>
                <w:rFonts w:ascii="Helvetica" w:cs="Helvetica" w:eastAsia="Helvetica" w:hAnsi="Helvetica"/>
                <w:b w:val="false"/>
                <w:bCs w:val="false"/>
                <w:color w:val="67441A"/>
                <w:sz w:val="18"/>
                <w:szCs w:val="18"/>
              </w:rPr>
              <w:t xml:space="preserve">Coaching — Legacy ($500/mo)</w:t>
            </w:r>
          </w:p>
        </w:tc>
        <w:tc>
          <w:tcPr>
            <w:tcW w:type="dxa" w:w="160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2</w:t>
            </w:r>
          </w:p>
        </w:tc>
        <w:tc>
          <w:tcPr>
            <w:tcW w:type="dxa" w:w="160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$1,000</w:t>
            </w:r>
          </w:p>
        </w:tc>
        <w:tc>
          <w:tcPr>
            <w:tcW w:type="dxa" w:w="156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$12,000</w:t>
            </w:r>
          </w:p>
        </w:tc>
      </w:tr>
      <w:tr>
        <w:tc>
          <w:tcPr>
            <w:tcW w:type="dxa" w:w="3200"/>
            <w:tcBorders>
              <w:top w:val="single" w:color="D4C5B0" w:sz="1"/>
              <w:left w:val="single" w:color="D4C5B0" w:sz="1"/>
              <w:bottom w:val="single" w:color="D4C5B0" w:sz="1"/>
              <w:right w:val="single" w:color="D4C5B0" w:sz="1"/>
            </w:tcBorders>
            <w:shd w:fill="FFFFFF" w:val="clear"/>
            <w:tcMar>
              <w:top w:type="dxa" w:w="60"/>
              <w:left w:type="dxa" w:w="100"/>
              <w:bottom w:type="dxa" w:w="60"/>
              <w:right w:type="dxa" w:w="100"/>
            </w:tcMar>
          </w:tcPr>
          <w:p>
            <w:r>
              <w:rPr>
                <w:rFonts w:ascii="Helvetica" w:cs="Helvetica" w:eastAsia="Helvetica" w:hAnsi="Helvetica"/>
                <w:b w:val="false"/>
                <w:bCs w:val="false"/>
                <w:color w:val="67441A"/>
                <w:sz w:val="18"/>
                <w:szCs w:val="18"/>
              </w:rPr>
              <w:t xml:space="preserve">Coaching — Foundation ($1,000/mo)</w:t>
            </w:r>
          </w:p>
        </w:tc>
        <w:tc>
          <w:tcPr>
            <w:tcW w:type="dxa" w:w="1600"/>
            <w:tcBorders>
              <w:top w:val="single" w:color="D4C5B0" w:sz="1"/>
              <w:left w:val="single" w:color="D4C5B0" w:sz="1"/>
              <w:bottom w:val="single" w:color="D4C5B0" w:sz="1"/>
              <w:right w:val="single" w:color="D4C5B0" w:sz="1"/>
            </w:tcBorders>
            <w:shd w:fill="FFFFFF"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1</w:t>
            </w:r>
          </w:p>
        </w:tc>
        <w:tc>
          <w:tcPr>
            <w:tcW w:type="dxa" w:w="1600"/>
            <w:tcBorders>
              <w:top w:val="single" w:color="D4C5B0" w:sz="1"/>
              <w:left w:val="single" w:color="D4C5B0" w:sz="1"/>
              <w:bottom w:val="single" w:color="D4C5B0" w:sz="1"/>
              <w:right w:val="single" w:color="D4C5B0" w:sz="1"/>
            </w:tcBorders>
            <w:shd w:fill="FFFFFF"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$1,000</w:t>
            </w:r>
          </w:p>
        </w:tc>
        <w:tc>
          <w:tcPr>
            <w:tcW w:type="dxa" w:w="1560"/>
            <w:tcBorders>
              <w:top w:val="single" w:color="D4C5B0" w:sz="1"/>
              <w:left w:val="single" w:color="D4C5B0" w:sz="1"/>
              <w:bottom w:val="single" w:color="D4C5B0" w:sz="1"/>
              <w:right w:val="single" w:color="D4C5B0" w:sz="1"/>
            </w:tcBorders>
            <w:shd w:fill="FFFFFF"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$12,000</w:t>
            </w:r>
          </w:p>
        </w:tc>
      </w:tr>
      <w:tr>
        <w:tc>
          <w:tcPr>
            <w:tcW w:type="dxa" w:w="320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r>
              <w:rPr>
                <w:rFonts w:ascii="Helvetica" w:cs="Helvetica" w:eastAsia="Helvetica" w:hAnsi="Helvetica"/>
                <w:b w:val="false"/>
                <w:bCs w:val="false"/>
                <w:color w:val="67441A"/>
                <w:sz w:val="18"/>
                <w:szCs w:val="18"/>
              </w:rPr>
              <w:t xml:space="preserve">Coaching — Accelerator ($2,000/mo)</w:t>
            </w:r>
          </w:p>
        </w:tc>
        <w:tc>
          <w:tcPr>
            <w:tcW w:type="dxa" w:w="160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1</w:t>
            </w:r>
          </w:p>
        </w:tc>
        <w:tc>
          <w:tcPr>
            <w:tcW w:type="dxa" w:w="160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$2,000</w:t>
            </w:r>
          </w:p>
        </w:tc>
        <w:tc>
          <w:tcPr>
            <w:tcW w:type="dxa" w:w="156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pPr>
              <w:jc w:val="center"/>
            </w:pPr>
            <w:r>
              <w:rPr>
                <w:rFonts w:ascii="Helvetica" w:cs="Helvetica" w:eastAsia="Helvetica" w:hAnsi="Helvetica"/>
                <w:b w:val="false"/>
                <w:bCs w:val="false"/>
                <w:color w:val="67441A"/>
                <w:sz w:val="18"/>
                <w:szCs w:val="18"/>
              </w:rPr>
              <w:t xml:space="preserve">$24,000</w:t>
            </w:r>
          </w:p>
        </w:tc>
      </w:tr>
      <w:tr>
        <w:tc>
          <w:tcPr>
            <w:tcW w:type="dxa" w:w="3200"/>
            <w:tcBorders>
              <w:top w:val="single" w:color="D4C5B0" w:sz="1"/>
              <w:left w:val="single" w:color="D4C5B0" w:sz="1"/>
              <w:bottom w:val="single" w:color="D4C5B0" w:sz="1"/>
              <w:right w:val="single" w:color="D4C5B0" w:sz="1"/>
            </w:tcBorders>
            <w:shd w:fill="FFFFFF" w:val="clear"/>
            <w:tcMar>
              <w:top w:type="dxa" w:w="60"/>
              <w:left w:type="dxa" w:w="100"/>
              <w:bottom w:type="dxa" w:w="60"/>
              <w:right w:type="dxa" w:w="100"/>
            </w:tcMar>
          </w:tcPr>
          <w:p>
            <w:r>
              <w:rPr>
                <w:rFonts w:ascii="Helvetica" w:cs="Helvetica" w:eastAsia="Helvetica" w:hAnsi="Helvetica"/>
                <w:b/>
                <w:bCs/>
                <w:color w:val="67441A"/>
                <w:sz w:val="18"/>
                <w:szCs w:val="18"/>
              </w:rPr>
              <w:t xml:space="preserve">Total Recurring Revenue</w:t>
            </w:r>
          </w:p>
        </w:tc>
        <w:tc>
          <w:tcPr>
            <w:tcW w:type="dxa" w:w="1600"/>
            <w:tcBorders>
              <w:top w:val="single" w:color="D4C5B0" w:sz="1"/>
              <w:left w:val="single" w:color="D4C5B0" w:sz="1"/>
              <w:bottom w:val="single" w:color="D4C5B0" w:sz="1"/>
              <w:right w:val="single" w:color="D4C5B0" w:sz="1"/>
            </w:tcBorders>
            <w:shd w:fill="FFFFFF" w:val="clear"/>
            <w:tcMar>
              <w:top w:type="dxa" w:w="60"/>
              <w:left w:type="dxa" w:w="100"/>
              <w:bottom w:type="dxa" w:w="60"/>
              <w:right w:type="dxa" w:w="100"/>
            </w:tcMar>
          </w:tcPr>
          <w:p>
            <w:pPr>
              <w:jc w:val="center"/>
            </w:pPr>
            <w:r>
              <w:rPr>
                <w:rFonts w:ascii="Helvetica" w:cs="Helvetica" w:eastAsia="Helvetica" w:hAnsi="Helvetica"/>
                <w:b/>
                <w:bCs/>
                <w:color w:val="D57028"/>
                <w:sz w:val="18"/>
                <w:szCs w:val="18"/>
              </w:rPr>
              <w:t xml:space="preserve">136</w:t>
            </w:r>
          </w:p>
        </w:tc>
        <w:tc>
          <w:tcPr>
            <w:tcW w:type="dxa" w:w="1600"/>
            <w:tcBorders>
              <w:top w:val="single" w:color="D4C5B0" w:sz="1"/>
              <w:left w:val="single" w:color="D4C5B0" w:sz="1"/>
              <w:bottom w:val="single" w:color="D4C5B0" w:sz="1"/>
              <w:right w:val="single" w:color="D4C5B0" w:sz="1"/>
            </w:tcBorders>
            <w:shd w:fill="FFFFFF" w:val="clear"/>
            <w:tcMar>
              <w:top w:type="dxa" w:w="60"/>
              <w:left w:type="dxa" w:w="100"/>
              <w:bottom w:type="dxa" w:w="60"/>
              <w:right w:type="dxa" w:w="100"/>
            </w:tcMar>
          </w:tcPr>
          <w:p>
            <w:pPr>
              <w:jc w:val="center"/>
            </w:pPr>
            <w:r>
              <w:rPr>
                <w:rFonts w:ascii="Helvetica" w:cs="Helvetica" w:eastAsia="Helvetica" w:hAnsi="Helvetica"/>
                <w:b/>
                <w:bCs/>
                <w:color w:val="D57028"/>
                <w:sz w:val="18"/>
                <w:szCs w:val="18"/>
              </w:rPr>
              <w:t xml:space="preserve">$5,886</w:t>
            </w:r>
          </w:p>
        </w:tc>
        <w:tc>
          <w:tcPr>
            <w:tcW w:type="dxa" w:w="1560"/>
            <w:tcBorders>
              <w:top w:val="single" w:color="D4C5B0" w:sz="1"/>
              <w:left w:val="single" w:color="D4C5B0" w:sz="1"/>
              <w:bottom w:val="single" w:color="D4C5B0" w:sz="1"/>
              <w:right w:val="single" w:color="D4C5B0" w:sz="1"/>
            </w:tcBorders>
            <w:shd w:fill="FFFFFF" w:val="clear"/>
            <w:tcMar>
              <w:top w:type="dxa" w:w="60"/>
              <w:left w:type="dxa" w:w="100"/>
              <w:bottom w:type="dxa" w:w="60"/>
              <w:right w:type="dxa" w:w="100"/>
            </w:tcMar>
          </w:tcPr>
          <w:p>
            <w:pPr>
              <w:jc w:val="center"/>
            </w:pPr>
            <w:r>
              <w:rPr>
                <w:rFonts w:ascii="Helvetica" w:cs="Helvetica" w:eastAsia="Helvetica" w:hAnsi="Helvetica"/>
                <w:b/>
                <w:bCs/>
                <w:color w:val="D57028"/>
                <w:sz w:val="18"/>
                <w:szCs w:val="18"/>
              </w:rPr>
              <w:t xml:space="preserve">$70,632</w:t>
            </w:r>
          </w:p>
        </w:tc>
      </w:tr>
    </w:tbl>
    <w:p>
      <w:r>
        <w:br w:type="page"/>
      </w:r>
    </w:p>
    <w:p>
      <w:pPr>
        <w:spacing w:before="240" w:after="100"/>
      </w:pPr>
      <w:r>
        <w:rPr>
          <w:rFonts w:ascii="Arimo" w:cs="Arimo" w:eastAsia="Arimo" w:hAnsi="Arimo"/>
          <w:b/>
          <w:bCs/>
          <w:color w:val="67441A"/>
          <w:sz w:val="24"/>
          <w:szCs w:val="24"/>
        </w:rPr>
        <w:t xml:space="preserve">3-Year Revenue Projections (Post-Raise)</w:t>
      </w:r>
    </w:p>
    <w:p>
      <w:pPr>
        <w:spacing w:before="60" w:after="60" w:line="276"/>
        <w:jc w:val="left"/>
      </w:pPr>
      <w:r>
        <w:rPr>
          <w:rFonts w:ascii="Helvetica" w:cs="Helvetica" w:eastAsia="Helvetica" w:hAnsi="Helvetica"/>
          <w:color w:val="67441A"/>
          <w:sz w:val="21"/>
          <w:szCs w:val="21"/>
        </w:rPr>
        <w:t xml:space="preserve">The following projections assume a $500K pre-seed close in Q2 2026, with the new platform launching in Q3 2026. Revenue streams diversify and compound as the technology, community, and partnerships scale together.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none" w:color="FFFFFF" w:sz="0"/>
              <w:left w:val="none" w:color="FFFFFF" w:sz="0"/>
              <w:bottom w:val="single" w:color="D57028" w:sz="2"/>
              <w:right w:val="none" w:color="FFFFFF" w:sz="0"/>
            </w:tcBorders>
            <w:shd w:fill="1B3533" w:val="clear"/>
            <w:tcMar>
              <w:top w:type="dxa" w:w="70"/>
              <w:left w:type="dxa" w:w="100"/>
              <w:bottom w:type="dxa" w:w="70"/>
              <w:right w:type="dxa" w:w="100"/>
            </w:tcMar>
          </w:tcPr>
          <w:p>
            <w:pPr>
              <w:jc w:val="left"/>
            </w:pPr>
            <w:r>
              <w:rPr>
                <w:rFonts w:ascii="Helvetica" w:cs="Helvetica" w:eastAsia="Helvetica" w:hAnsi="Helvetica"/>
                <w:b/>
                <w:bCs/>
                <w:color w:val="FFFFFF"/>
                <w:sz w:val="18"/>
                <w:szCs w:val="18"/>
              </w:rPr>
              <w:t xml:space="preserve"/>
            </w:r>
          </w:p>
        </w:tc>
        <w:tc>
          <w:tcPr>
            <w:tcW w:type="dxa" w:w="1690"/>
            <w:tcBorders>
              <w:top w:val="none" w:color="FFFFFF" w:sz="0"/>
              <w:left w:val="none" w:color="FFFFFF" w:sz="0"/>
              <w:bottom w:val="single" w:color="D57028" w:sz="2"/>
              <w:right w:val="none" w:color="FFFFFF" w:sz="0"/>
            </w:tcBorders>
            <w:shd w:fill="1B3533" w:val="clear"/>
            <w:tcMar>
              <w:top w:type="dxa" w:w="70"/>
              <w:left w:type="dxa" w:w="100"/>
              <w:bottom w:type="dxa" w:w="70"/>
              <w:right w:type="dxa" w:w="100"/>
            </w:tcMar>
          </w:tcPr>
          <w:p>
            <w:pPr>
              <w:jc w:val="right"/>
            </w:pPr>
            <w:r>
              <w:rPr>
                <w:rFonts w:ascii="Helvetica" w:cs="Helvetica" w:eastAsia="Helvetica" w:hAnsi="Helvetica"/>
                <w:b/>
                <w:bCs/>
                <w:color w:val="FFFFFF"/>
                <w:sz w:val="18"/>
                <w:szCs w:val="18"/>
              </w:rPr>
              <w:t xml:space="preserve">2025 (Actual)</w:t>
            </w:r>
          </w:p>
        </w:tc>
        <w:tc>
          <w:tcPr>
            <w:tcW w:type="dxa" w:w="1690"/>
            <w:tcBorders>
              <w:top w:val="none" w:color="FFFFFF" w:sz="0"/>
              <w:left w:val="none" w:color="FFFFFF" w:sz="0"/>
              <w:bottom w:val="single" w:color="D57028" w:sz="2"/>
              <w:right w:val="none" w:color="FFFFFF" w:sz="0"/>
            </w:tcBorders>
            <w:shd w:fill="1B3533" w:val="clear"/>
            <w:tcMar>
              <w:top w:type="dxa" w:w="70"/>
              <w:left w:type="dxa" w:w="100"/>
              <w:bottom w:type="dxa" w:w="70"/>
              <w:right w:type="dxa" w:w="100"/>
            </w:tcMar>
          </w:tcPr>
          <w:p>
            <w:pPr>
              <w:jc w:val="right"/>
            </w:pPr>
            <w:r>
              <w:rPr>
                <w:rFonts w:ascii="Helvetica" w:cs="Helvetica" w:eastAsia="Helvetica" w:hAnsi="Helvetica"/>
                <w:b/>
                <w:bCs/>
                <w:color w:val="FFFFFF"/>
                <w:sz w:val="18"/>
                <w:szCs w:val="18"/>
              </w:rPr>
              <w:t xml:space="preserve">2026 (Proj.)</w:t>
            </w:r>
          </w:p>
        </w:tc>
        <w:tc>
          <w:tcPr>
            <w:tcW w:type="dxa" w:w="1690"/>
            <w:tcBorders>
              <w:top w:val="none" w:color="FFFFFF" w:sz="0"/>
              <w:left w:val="none" w:color="FFFFFF" w:sz="0"/>
              <w:bottom w:val="single" w:color="D57028" w:sz="2"/>
              <w:right w:val="none" w:color="FFFFFF" w:sz="0"/>
            </w:tcBorders>
            <w:shd w:fill="1B3533" w:val="clear"/>
            <w:tcMar>
              <w:top w:type="dxa" w:w="70"/>
              <w:left w:type="dxa" w:w="100"/>
              <w:bottom w:type="dxa" w:w="70"/>
              <w:right w:type="dxa" w:w="100"/>
            </w:tcMar>
          </w:tcPr>
          <w:p>
            <w:pPr>
              <w:jc w:val="right"/>
            </w:pPr>
            <w:r>
              <w:rPr>
                <w:rFonts w:ascii="Helvetica" w:cs="Helvetica" w:eastAsia="Helvetica" w:hAnsi="Helvetica"/>
                <w:b/>
                <w:bCs/>
                <w:color w:val="FFFFFF"/>
                <w:sz w:val="18"/>
                <w:szCs w:val="18"/>
              </w:rPr>
              <w:t xml:space="preserve">2027 (Proj.)</w:t>
            </w:r>
          </w:p>
        </w:tc>
        <w:tc>
          <w:tcPr>
            <w:tcW w:type="dxa" w:w="1690"/>
            <w:tcBorders>
              <w:top w:val="none" w:color="FFFFFF" w:sz="0"/>
              <w:left w:val="none" w:color="FFFFFF" w:sz="0"/>
              <w:bottom w:val="single" w:color="D57028" w:sz="2"/>
              <w:right w:val="none" w:color="FFFFFF" w:sz="0"/>
            </w:tcBorders>
            <w:shd w:fill="1B3533" w:val="clear"/>
            <w:tcMar>
              <w:top w:type="dxa" w:w="70"/>
              <w:left w:type="dxa" w:w="100"/>
              <w:bottom w:type="dxa" w:w="70"/>
              <w:right w:type="dxa" w:w="100"/>
            </w:tcMar>
          </w:tcPr>
          <w:p>
            <w:pPr>
              <w:jc w:val="right"/>
            </w:pPr>
            <w:r>
              <w:rPr>
                <w:rFonts w:ascii="Helvetica" w:cs="Helvetica" w:eastAsia="Helvetica" w:hAnsi="Helvetica"/>
                <w:b/>
                <w:bCs/>
                <w:color w:val="FFFFFF"/>
                <w:sz w:val="18"/>
                <w:szCs w:val="18"/>
              </w:rPr>
              <w:t xml:space="preserve">2028 (Proj.)</w:t>
            </w:r>
          </w:p>
        </w:tc>
      </w:tr>
      <w:tr>
        <w:tc>
          <w:tcPr>
            <w:tcW w:type="dxa" w:w="260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r>
              <w:rPr>
                <w:rFonts w:ascii="Helvetica" w:cs="Helvetica" w:eastAsia="Helvetica" w:hAnsi="Helvetica"/>
                <w:b/>
                <w:bCs/>
                <w:color w:val="FFFFFF"/>
                <w:sz w:val="18"/>
                <w:szCs w:val="18"/>
              </w:rPr>
              <w:t xml:space="preserve">REVENUE</w:t>
            </w:r>
          </w:p>
        </w:tc>
        <w:tc>
          <w:tcPr>
            <w:tcW w:type="dxa" w:w="169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pPr>
              <w:jc w:val="right"/>
            </w:pPr>
            <w:r>
              <w:rPr>
                <w:rFonts w:ascii="Helvetica" w:cs="Helvetica" w:eastAsia="Helvetica" w:hAnsi="Helvetica"/>
                <w:b/>
                <w:bCs/>
                <w:color w:val="FFFFFF"/>
                <w:sz w:val="18"/>
                <w:szCs w:val="18"/>
              </w:rPr>
              <w:t xml:space="preserve"/>
            </w:r>
          </w:p>
        </w:tc>
        <w:tc>
          <w:tcPr>
            <w:tcW w:type="dxa" w:w="169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pPr>
              <w:jc w:val="right"/>
            </w:pPr>
            <w:r>
              <w:rPr>
                <w:rFonts w:ascii="Helvetica" w:cs="Helvetica" w:eastAsia="Helvetica" w:hAnsi="Helvetica"/>
                <w:b/>
                <w:bCs/>
                <w:color w:val="FFFFFF"/>
                <w:sz w:val="18"/>
                <w:szCs w:val="18"/>
              </w:rPr>
              <w:t xml:space="preserve"/>
            </w:r>
          </w:p>
        </w:tc>
        <w:tc>
          <w:tcPr>
            <w:tcW w:type="dxa" w:w="169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pPr>
              <w:jc w:val="right"/>
            </w:pPr>
            <w:r>
              <w:rPr>
                <w:rFonts w:ascii="Helvetica" w:cs="Helvetica" w:eastAsia="Helvetica" w:hAnsi="Helvetica"/>
                <w:b/>
                <w:bCs/>
                <w:color w:val="FFFFFF"/>
                <w:sz w:val="18"/>
                <w:szCs w:val="18"/>
              </w:rPr>
              <w:t xml:space="preserve"/>
            </w:r>
          </w:p>
        </w:tc>
        <w:tc>
          <w:tcPr>
            <w:tcW w:type="dxa" w:w="169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pPr>
              <w:jc w:val="right"/>
            </w:pPr>
            <w:r>
              <w:rPr>
                <w:rFonts w:ascii="Helvetica" w:cs="Helvetica" w:eastAsia="Helvetica" w:hAnsi="Helvetica"/>
                <w:b/>
                <w:bCs/>
                <w:color w:val="FFFFFF"/>
                <w:sz w:val="18"/>
                <w:szCs w:val="18"/>
              </w:rPr>
              <w:t xml:space="preserve"/>
            </w:r>
          </w:p>
        </w:tc>
      </w:tr>
      <w:tr>
        <w:tc>
          <w:tcPr>
            <w:tcW w:type="dxa" w:w="260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r>
              <w:rPr>
                <w:rFonts w:ascii="Helvetica" w:cs="Helvetica" w:eastAsia="Helvetica" w:hAnsi="Helvetica"/>
                <w:b w:val="false"/>
                <w:bCs w:val="false"/>
                <w:color w:val="67441A"/>
                <w:sz w:val="18"/>
                <w:szCs w:val="18"/>
              </w:rPr>
              <w:t xml:space="preserve">SaaS Subscriptions</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$18,230</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$59,346</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$205,530</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$502,500</w:t>
            </w:r>
          </w:p>
        </w:tc>
      </w:tr>
      <w:tr>
        <w:tc>
          <w:tcPr>
            <w:tcW w:type="dxa" w:w="260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r>
              <w:rPr>
                <w:rFonts w:ascii="Helvetica" w:cs="Helvetica" w:eastAsia="Helvetica" w:hAnsi="Helvetica"/>
                <w:b w:val="false"/>
                <w:bCs w:val="false"/>
                <w:color w:val="67441A"/>
                <w:sz w:val="18"/>
                <w:szCs w:val="18"/>
              </w:rPr>
              <w:t xml:space="preserve">Coaching Programs</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$2,000</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$79,000</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$177,000</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$420,000</w:t>
            </w:r>
          </w:p>
        </w:tc>
      </w:tr>
      <w:tr>
        <w:tc>
          <w:tcPr>
            <w:tcW w:type="dxa" w:w="260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r>
              <w:rPr>
                <w:rFonts w:ascii="Helvetica" w:cs="Helvetica" w:eastAsia="Helvetica" w:hAnsi="Helvetica"/>
                <w:b w:val="false"/>
                <w:bCs w:val="false"/>
                <w:color w:val="67441A"/>
                <w:sz w:val="18"/>
                <w:szCs w:val="18"/>
              </w:rPr>
              <w:t xml:space="preserve">Events &amp; Sales</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$73,890</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$100,000</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$160,000</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$240,000</w:t>
            </w:r>
          </w:p>
        </w:tc>
      </w:tr>
      <w:tr>
        <w:tc>
          <w:tcPr>
            <w:tcW w:type="dxa" w:w="260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r>
              <w:rPr>
                <w:rFonts w:ascii="Helvetica" w:cs="Helvetica" w:eastAsia="Helvetica" w:hAnsi="Helvetica"/>
                <w:b w:val="false"/>
                <w:bCs w:val="false"/>
                <w:color w:val="67441A"/>
                <w:sz w:val="18"/>
                <w:szCs w:val="18"/>
              </w:rPr>
              <w:t xml:space="preserve">Services &amp; Consulting*</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$48,405</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w:t>
            </w:r>
          </w:p>
        </w:tc>
      </w:tr>
      <w:tr>
        <w:tc>
          <w:tcPr>
            <w:tcW w:type="dxa" w:w="260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r>
              <w:rPr>
                <w:rFonts w:ascii="Helvetica" w:cs="Helvetica" w:eastAsia="Helvetica" w:hAnsi="Helvetica"/>
                <w:b w:val="false"/>
                <w:bCs w:val="false"/>
                <w:color w:val="67441A"/>
                <w:sz w:val="18"/>
                <w:szCs w:val="18"/>
              </w:rPr>
              <w:t xml:space="preserve">B2B / Sponsorships</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$50,000</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$255,000</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$635,000</w:t>
            </w:r>
          </w:p>
        </w:tc>
      </w:tr>
      <w:tr>
        <w:tc>
          <w:tcPr>
            <w:tcW w:type="dxa" w:w="260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r>
              <w:rPr>
                <w:rFonts w:ascii="Helvetica" w:cs="Helvetica" w:eastAsia="Helvetica" w:hAnsi="Helvetica"/>
                <w:b w:val="false"/>
                <w:bCs w:val="false"/>
                <w:color w:val="67441A"/>
                <w:sz w:val="18"/>
                <w:szCs w:val="18"/>
              </w:rPr>
              <w:t xml:space="preserve">Grants</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$37,156</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$40,000</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$20,000</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w:t>
            </w:r>
          </w:p>
        </w:tc>
      </w:tr>
      <w:tr>
        <w:tc>
          <w:tcPr>
            <w:tcW w:type="dxa" w:w="260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r>
              <w:rPr>
                <w:rFonts w:ascii="Helvetica" w:cs="Helvetica" w:eastAsia="Helvetica" w:hAnsi="Helvetica"/>
                <w:b/>
                <w:bCs/>
                <w:color w:val="67441A"/>
                <w:sz w:val="18"/>
                <w:szCs w:val="18"/>
              </w:rPr>
              <w:t xml:space="preserve">Total Revenue</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bCs/>
                <w:color w:val="D57028"/>
                <w:sz w:val="18"/>
                <w:szCs w:val="18"/>
              </w:rPr>
              <w:t xml:space="preserve">$178,173</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bCs/>
                <w:color w:val="D57028"/>
                <w:sz w:val="18"/>
                <w:szCs w:val="18"/>
              </w:rPr>
              <w:t xml:space="preserve">$328,346</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bCs/>
                <w:color w:val="D57028"/>
                <w:sz w:val="18"/>
                <w:szCs w:val="18"/>
              </w:rPr>
              <w:t xml:space="preserve">$817,530</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bCs/>
                <w:color w:val="D57028"/>
                <w:sz w:val="18"/>
                <w:szCs w:val="18"/>
              </w:rPr>
              <w:t xml:space="preserve">$1.8M</w:t>
            </w:r>
          </w:p>
        </w:tc>
      </w:tr>
      <w:tr>
        <w:tc>
          <w:tcPr>
            <w:tcW w:type="dxa" w:w="260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r>
              <w:rPr>
                <w:rFonts w:ascii="Helvetica" w:cs="Helvetica" w:eastAsia="Helvetica" w:hAnsi="Helvetica"/>
                <w:b/>
                <w:bCs/>
                <w:color w:val="FFFFFF"/>
                <w:sz w:val="18"/>
                <w:szCs w:val="18"/>
              </w:rPr>
              <w:t xml:space="preserve">CASH FLOW</w:t>
            </w:r>
          </w:p>
        </w:tc>
        <w:tc>
          <w:tcPr>
            <w:tcW w:type="dxa" w:w="169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pPr>
              <w:jc w:val="right"/>
            </w:pPr>
            <w:r>
              <w:rPr>
                <w:rFonts w:ascii="Helvetica" w:cs="Helvetica" w:eastAsia="Helvetica" w:hAnsi="Helvetica"/>
                <w:b/>
                <w:bCs/>
                <w:color w:val="FFFFFF"/>
                <w:sz w:val="18"/>
                <w:szCs w:val="18"/>
              </w:rPr>
              <w:t xml:space="preserve"/>
            </w:r>
          </w:p>
        </w:tc>
        <w:tc>
          <w:tcPr>
            <w:tcW w:type="dxa" w:w="169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pPr>
              <w:jc w:val="right"/>
            </w:pPr>
            <w:r>
              <w:rPr>
                <w:rFonts w:ascii="Helvetica" w:cs="Helvetica" w:eastAsia="Helvetica" w:hAnsi="Helvetica"/>
                <w:b/>
                <w:bCs/>
                <w:color w:val="FFFFFF"/>
                <w:sz w:val="18"/>
                <w:szCs w:val="18"/>
              </w:rPr>
              <w:t xml:space="preserve"/>
            </w:r>
          </w:p>
        </w:tc>
        <w:tc>
          <w:tcPr>
            <w:tcW w:type="dxa" w:w="169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pPr>
              <w:jc w:val="right"/>
            </w:pPr>
            <w:r>
              <w:rPr>
                <w:rFonts w:ascii="Helvetica" w:cs="Helvetica" w:eastAsia="Helvetica" w:hAnsi="Helvetica"/>
                <w:b/>
                <w:bCs/>
                <w:color w:val="FFFFFF"/>
                <w:sz w:val="18"/>
                <w:szCs w:val="18"/>
              </w:rPr>
              <w:t xml:space="preserve"/>
            </w:r>
          </w:p>
        </w:tc>
        <w:tc>
          <w:tcPr>
            <w:tcW w:type="dxa" w:w="169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pPr>
              <w:jc w:val="right"/>
            </w:pPr>
            <w:r>
              <w:rPr>
                <w:rFonts w:ascii="Helvetica" w:cs="Helvetica" w:eastAsia="Helvetica" w:hAnsi="Helvetica"/>
                <w:b/>
                <w:bCs/>
                <w:color w:val="FFFFFF"/>
                <w:sz w:val="18"/>
                <w:szCs w:val="18"/>
              </w:rPr>
              <w:t xml:space="preserve"/>
            </w:r>
          </w:p>
        </w:tc>
      </w:tr>
      <w:tr>
        <w:tc>
          <w:tcPr>
            <w:tcW w:type="dxa" w:w="260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r>
              <w:rPr>
                <w:rFonts w:ascii="Helvetica" w:cs="Helvetica" w:eastAsia="Helvetica" w:hAnsi="Helvetica"/>
                <w:b w:val="false"/>
                <w:bCs w:val="false"/>
                <w:color w:val="67441A"/>
                <w:sz w:val="18"/>
                <w:szCs w:val="18"/>
              </w:rPr>
              <w:t xml:space="preserve">Pre-Seed Investment</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$500,000</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w:t>
            </w:r>
          </w:p>
        </w:tc>
      </w:tr>
      <w:tr>
        <w:tc>
          <w:tcPr>
            <w:tcW w:type="dxa" w:w="260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r>
              <w:rPr>
                <w:rFonts w:ascii="Helvetica" w:cs="Helvetica" w:eastAsia="Helvetica" w:hAnsi="Helvetica"/>
                <w:b/>
                <w:bCs/>
                <w:color w:val="FFFFFF"/>
                <w:sz w:val="18"/>
                <w:szCs w:val="18"/>
              </w:rPr>
              <w:t xml:space="preserve">KEY METRICS</w:t>
            </w:r>
          </w:p>
        </w:tc>
        <w:tc>
          <w:tcPr>
            <w:tcW w:type="dxa" w:w="169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pPr>
              <w:jc w:val="right"/>
            </w:pPr>
            <w:r>
              <w:rPr>
                <w:rFonts w:ascii="Helvetica" w:cs="Helvetica" w:eastAsia="Helvetica" w:hAnsi="Helvetica"/>
                <w:b/>
                <w:bCs/>
                <w:color w:val="FFFFFF"/>
                <w:sz w:val="18"/>
                <w:szCs w:val="18"/>
              </w:rPr>
              <w:t xml:space="preserve"/>
            </w:r>
          </w:p>
        </w:tc>
        <w:tc>
          <w:tcPr>
            <w:tcW w:type="dxa" w:w="169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pPr>
              <w:jc w:val="right"/>
            </w:pPr>
            <w:r>
              <w:rPr>
                <w:rFonts w:ascii="Helvetica" w:cs="Helvetica" w:eastAsia="Helvetica" w:hAnsi="Helvetica"/>
                <w:b/>
                <w:bCs/>
                <w:color w:val="FFFFFF"/>
                <w:sz w:val="18"/>
                <w:szCs w:val="18"/>
              </w:rPr>
              <w:t xml:space="preserve"/>
            </w:r>
          </w:p>
        </w:tc>
        <w:tc>
          <w:tcPr>
            <w:tcW w:type="dxa" w:w="169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pPr>
              <w:jc w:val="right"/>
            </w:pPr>
            <w:r>
              <w:rPr>
                <w:rFonts w:ascii="Helvetica" w:cs="Helvetica" w:eastAsia="Helvetica" w:hAnsi="Helvetica"/>
                <w:b/>
                <w:bCs/>
                <w:color w:val="FFFFFF"/>
                <w:sz w:val="18"/>
                <w:szCs w:val="18"/>
              </w:rPr>
              <w:t xml:space="preserve"/>
            </w:r>
          </w:p>
        </w:tc>
        <w:tc>
          <w:tcPr>
            <w:tcW w:type="dxa" w:w="169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pPr>
              <w:jc w:val="right"/>
            </w:pPr>
            <w:r>
              <w:rPr>
                <w:rFonts w:ascii="Helvetica" w:cs="Helvetica" w:eastAsia="Helvetica" w:hAnsi="Helvetica"/>
                <w:b/>
                <w:bCs/>
                <w:color w:val="FFFFFF"/>
                <w:sz w:val="18"/>
                <w:szCs w:val="18"/>
              </w:rPr>
              <w:t xml:space="preserve"/>
            </w:r>
          </w:p>
        </w:tc>
      </w:tr>
      <w:tr>
        <w:tc>
          <w:tcPr>
            <w:tcW w:type="dxa" w:w="260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r>
              <w:rPr>
                <w:rFonts w:ascii="Helvetica" w:cs="Helvetica" w:eastAsia="Helvetica" w:hAnsi="Helvetica"/>
                <w:b w:val="false"/>
                <w:bCs w:val="false"/>
                <w:color w:val="67441A"/>
                <w:sz w:val="18"/>
                <w:szCs w:val="18"/>
              </w:rPr>
              <w:t xml:space="preserve">Paying Subscribers</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132</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515</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1,650</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3,600</w:t>
            </w:r>
          </w:p>
        </w:tc>
      </w:tr>
      <w:tr>
        <w:tc>
          <w:tcPr>
            <w:tcW w:type="dxa" w:w="260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r>
              <w:rPr>
                <w:rFonts w:ascii="Helvetica" w:cs="Helvetica" w:eastAsia="Helvetica" w:hAnsi="Helvetica"/>
                <w:b w:val="false"/>
                <w:bCs w:val="false"/>
                <w:color w:val="67441A"/>
                <w:sz w:val="18"/>
                <w:szCs w:val="18"/>
              </w:rPr>
              <w:t xml:space="preserve">Coaching Clients</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4</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6</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15</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33</w:t>
            </w:r>
          </w:p>
        </w:tc>
      </w:tr>
      <w:tr>
        <w:tc>
          <w:tcPr>
            <w:tcW w:type="dxa" w:w="260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r>
              <w:rPr>
                <w:rFonts w:ascii="Helvetica" w:cs="Helvetica" w:eastAsia="Helvetica" w:hAnsi="Helvetica"/>
                <w:b w:val="false"/>
                <w:bCs w:val="false"/>
                <w:color w:val="67441A"/>
                <w:sz w:val="18"/>
                <w:szCs w:val="18"/>
              </w:rPr>
              <w:t xml:space="preserve">Email Subscribers</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10,000</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25,000</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60,000</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120,000</w:t>
            </w:r>
          </w:p>
        </w:tc>
      </w:tr>
      <w:tr>
        <w:tc>
          <w:tcPr>
            <w:tcW w:type="dxa" w:w="260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r>
              <w:rPr>
                <w:rFonts w:ascii="Helvetica" w:cs="Helvetica" w:eastAsia="Helvetica" w:hAnsi="Helvetica"/>
                <w:b w:val="false"/>
                <w:bCs w:val="false"/>
                <w:color w:val="67441A"/>
                <w:sz w:val="18"/>
                <w:szCs w:val="18"/>
              </w:rPr>
              <w:t xml:space="preserve">B2B Sponsors</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4 tiers</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Multi-tier</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Multi-tier</w:t>
            </w:r>
          </w:p>
        </w:tc>
      </w:tr>
      <w:tr>
        <w:tc>
          <w:tcPr>
            <w:tcW w:type="dxa" w:w="260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r>
              <w:rPr>
                <w:rFonts w:ascii="Helvetica" w:cs="Helvetica" w:eastAsia="Helvetica" w:hAnsi="Helvetica"/>
                <w:b/>
                <w:bCs/>
                <w:color w:val="FFFFFF"/>
                <w:sz w:val="18"/>
                <w:szCs w:val="18"/>
              </w:rPr>
              <w:t xml:space="preserve">PROFITABILITY</w:t>
            </w:r>
          </w:p>
        </w:tc>
        <w:tc>
          <w:tcPr>
            <w:tcW w:type="dxa" w:w="169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pPr>
              <w:jc w:val="right"/>
            </w:pPr>
            <w:r>
              <w:rPr>
                <w:rFonts w:ascii="Helvetica" w:cs="Helvetica" w:eastAsia="Helvetica" w:hAnsi="Helvetica"/>
                <w:b/>
                <w:bCs/>
                <w:color w:val="FFFFFF"/>
                <w:sz w:val="18"/>
                <w:szCs w:val="18"/>
              </w:rPr>
              <w:t xml:space="preserve"/>
            </w:r>
          </w:p>
        </w:tc>
        <w:tc>
          <w:tcPr>
            <w:tcW w:type="dxa" w:w="169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pPr>
              <w:jc w:val="right"/>
            </w:pPr>
            <w:r>
              <w:rPr>
                <w:rFonts w:ascii="Helvetica" w:cs="Helvetica" w:eastAsia="Helvetica" w:hAnsi="Helvetica"/>
                <w:b/>
                <w:bCs/>
                <w:color w:val="FFFFFF"/>
                <w:sz w:val="18"/>
                <w:szCs w:val="18"/>
              </w:rPr>
              <w:t xml:space="preserve"/>
            </w:r>
          </w:p>
        </w:tc>
        <w:tc>
          <w:tcPr>
            <w:tcW w:type="dxa" w:w="169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pPr>
              <w:jc w:val="right"/>
            </w:pPr>
            <w:r>
              <w:rPr>
                <w:rFonts w:ascii="Helvetica" w:cs="Helvetica" w:eastAsia="Helvetica" w:hAnsi="Helvetica"/>
                <w:b/>
                <w:bCs/>
                <w:color w:val="FFFFFF"/>
                <w:sz w:val="18"/>
                <w:szCs w:val="18"/>
              </w:rPr>
              <w:t xml:space="preserve"/>
            </w:r>
          </w:p>
        </w:tc>
        <w:tc>
          <w:tcPr>
            <w:tcW w:type="dxa" w:w="1690"/>
            <w:tcBorders>
              <w:top w:val="single" w:color="D4C5B0" w:sz="1"/>
              <w:left w:val="single" w:color="D4C5B0" w:sz="1"/>
              <w:bottom w:val="single" w:color="D4C5B0" w:sz="1"/>
              <w:right w:val="single" w:color="D4C5B0" w:sz="1"/>
            </w:tcBorders>
            <w:shd w:fill="1B3533" w:val="clear"/>
            <w:tcMar>
              <w:top w:type="dxa" w:w="55"/>
              <w:left w:type="dxa" w:w="100"/>
              <w:bottom w:type="dxa" w:w="55"/>
              <w:right w:type="dxa" w:w="100"/>
            </w:tcMar>
          </w:tcPr>
          <w:p>
            <w:pPr>
              <w:jc w:val="right"/>
            </w:pPr>
            <w:r>
              <w:rPr>
                <w:rFonts w:ascii="Helvetica" w:cs="Helvetica" w:eastAsia="Helvetica" w:hAnsi="Helvetica"/>
                <w:b/>
                <w:bCs/>
                <w:color w:val="FFFFFF"/>
                <w:sz w:val="18"/>
                <w:szCs w:val="18"/>
              </w:rPr>
              <w:t xml:space="preserve"/>
            </w:r>
          </w:p>
        </w:tc>
      </w:tr>
      <w:tr>
        <w:tc>
          <w:tcPr>
            <w:tcW w:type="dxa" w:w="260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r>
              <w:rPr>
                <w:rFonts w:ascii="Helvetica" w:cs="Helvetica" w:eastAsia="Helvetica" w:hAnsi="Helvetica"/>
                <w:b w:val="false"/>
                <w:bCs w:val="false"/>
                <w:color w:val="67441A"/>
                <w:sz w:val="18"/>
                <w:szCs w:val="18"/>
              </w:rPr>
              <w:t xml:space="preserve">COGS</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($19,733)</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($32,835)</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($81,753)</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($161,775)</w:t>
            </w:r>
          </w:p>
        </w:tc>
      </w:tr>
      <w:tr>
        <w:tc>
          <w:tcPr>
            <w:tcW w:type="dxa" w:w="260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r>
              <w:rPr>
                <w:rFonts w:ascii="Helvetica" w:cs="Helvetica" w:eastAsia="Helvetica" w:hAnsi="Helvetica"/>
                <w:b/>
                <w:bCs/>
                <w:color w:val="67441A"/>
                <w:sz w:val="18"/>
                <w:szCs w:val="18"/>
              </w:rPr>
              <w:t xml:space="preserve">Gross Profit</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$192,448</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$295,511</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$735,777</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$1.6M</w:t>
            </w:r>
          </w:p>
        </w:tc>
      </w:tr>
      <w:tr>
        <w:tc>
          <w:tcPr>
            <w:tcW w:type="dxa" w:w="260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r>
              <w:rPr>
                <w:rFonts w:ascii="Helvetica" w:cs="Helvetica" w:eastAsia="Helvetica" w:hAnsi="Helvetica"/>
                <w:b w:val="false"/>
                <w:bCs w:val="false"/>
                <w:color w:val="67441A"/>
                <w:sz w:val="18"/>
                <w:szCs w:val="18"/>
              </w:rPr>
              <w:t xml:space="preserve">Gross Margin</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86.7%</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90%</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90%</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91%</w:t>
            </w:r>
          </w:p>
        </w:tc>
      </w:tr>
      <w:tr>
        <w:tc>
          <w:tcPr>
            <w:tcW w:type="dxa" w:w="260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r>
              <w:rPr>
                <w:rFonts w:ascii="Helvetica" w:cs="Helvetica" w:eastAsia="Helvetica" w:hAnsi="Helvetica"/>
                <w:b w:val="false"/>
                <w:bCs w:val="false"/>
                <w:color w:val="67441A"/>
                <w:sz w:val="18"/>
                <w:szCs w:val="18"/>
              </w:rPr>
              <w:t xml:space="preserve">Operating Expenses</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($96,000)</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($498,000)</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($778,000)</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($1.0M)</w:t>
            </w:r>
          </w:p>
        </w:tc>
      </w:tr>
      <w:tr>
        <w:tc>
          <w:tcPr>
            <w:tcW w:type="dxa" w:w="260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r>
              <w:rPr>
                <w:rFonts w:ascii="Helvetica" w:cs="Helvetica" w:eastAsia="Helvetica" w:hAnsi="Helvetica"/>
                <w:b/>
                <w:bCs/>
                <w:color w:val="67441A"/>
                <w:sz w:val="18"/>
                <w:szCs w:val="18"/>
              </w:rPr>
              <w:t xml:space="preserve">Operating Income</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bCs/>
                <w:color w:val="D57028"/>
                <w:sz w:val="18"/>
                <w:szCs w:val="18"/>
              </w:rPr>
              <w:t xml:space="preserve">$96,448</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bCs/>
                <w:color w:val="D57028"/>
                <w:sz w:val="18"/>
                <w:szCs w:val="18"/>
              </w:rPr>
              <w:t xml:space="preserve">($202,489)</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bCs/>
                <w:color w:val="D57028"/>
                <w:sz w:val="18"/>
                <w:szCs w:val="18"/>
              </w:rPr>
              <w:t xml:space="preserve">($42,223)</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bCs/>
                <w:color w:val="D57028"/>
                <w:sz w:val="18"/>
                <w:szCs w:val="18"/>
              </w:rPr>
              <w:t xml:space="preserve">$615,725</w:t>
            </w:r>
          </w:p>
        </w:tc>
      </w:tr>
      <w:tr>
        <w:tc>
          <w:tcPr>
            <w:tcW w:type="dxa" w:w="260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r>
              <w:rPr>
                <w:rFonts w:ascii="Helvetica" w:cs="Helvetica" w:eastAsia="Helvetica" w:hAnsi="Helvetica"/>
                <w:b w:val="false"/>
                <w:bCs w:val="false"/>
                <w:color w:val="67441A"/>
                <w:sz w:val="18"/>
                <w:szCs w:val="18"/>
              </w:rPr>
              <w:t xml:space="preserve">Operating Margin</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32.7%</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—61.7%</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—5.2%</w:t>
            </w:r>
          </w:p>
        </w:tc>
        <w:tc>
          <w:tcPr>
            <w:tcW w:type="dxa" w:w="1690"/>
            <w:tcBorders>
              <w:top w:val="single" w:color="D4C5B0" w:sz="1"/>
              <w:left w:val="single" w:color="D4C5B0" w:sz="1"/>
              <w:bottom w:val="single" w:color="D4C5B0" w:sz="1"/>
              <w:right w:val="single" w:color="D4C5B0" w:sz="1"/>
            </w:tcBorders>
            <w:shd w:fill="FFFFFF"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34.3%</w:t>
            </w:r>
          </w:p>
        </w:tc>
      </w:tr>
      <w:tr>
        <w:tc>
          <w:tcPr>
            <w:tcW w:type="dxa" w:w="260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r>
              <w:rPr>
                <w:rFonts w:ascii="Helvetica" w:cs="Helvetica" w:eastAsia="Helvetica" w:hAnsi="Helvetica"/>
                <w:b/>
                <w:bCs/>
                <w:color w:val="67441A"/>
                <w:sz w:val="18"/>
                <w:szCs w:val="18"/>
              </w:rPr>
              <w:t xml:space="preserve">Cash Position (EOY)</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$5,000</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$302,511</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$260,288</w:t>
            </w:r>
          </w:p>
        </w:tc>
        <w:tc>
          <w:tcPr>
            <w:tcW w:type="dxa" w:w="1690"/>
            <w:tcBorders>
              <w:top w:val="single" w:color="D4C5B0" w:sz="1"/>
              <w:left w:val="single" w:color="D4C5B0" w:sz="1"/>
              <w:bottom w:val="single" w:color="D4C5B0" w:sz="1"/>
              <w:right w:val="single" w:color="D4C5B0" w:sz="1"/>
            </w:tcBorders>
            <w:shd w:fill="F3EDE7" w:val="clear"/>
            <w:tcMar>
              <w:top w:type="dxa" w:w="55"/>
              <w:left w:type="dxa" w:w="100"/>
              <w:bottom w:type="dxa" w:w="55"/>
              <w:right w:type="dxa" w:w="100"/>
            </w:tcMar>
          </w:tcPr>
          <w:p>
            <w:pPr>
              <w:jc w:val="right"/>
            </w:pPr>
            <w:r>
              <w:rPr>
                <w:rFonts w:ascii="Helvetica" w:cs="Helvetica" w:eastAsia="Helvetica" w:hAnsi="Helvetica"/>
                <w:b w:val="false"/>
                <w:bCs w:val="false"/>
                <w:color w:val="67441A"/>
                <w:sz w:val="18"/>
                <w:szCs w:val="18"/>
              </w:rPr>
              <w:t xml:space="preserve">$876,013</w:t>
            </w:r>
          </w:p>
        </w:tc>
      </w:tr>
    </w:tbl>
    <w:p>
      <w:pPr>
        <w:spacing w:before="120" w:after="0"/>
      </w:pPr>
    </w:p>
    <w:p>
      <w:pPr>
        <w:spacing w:before="240" w:after="100"/>
      </w:pPr>
      <w:r>
        <w:rPr>
          <w:rFonts w:ascii="Arimo" w:cs="Arimo" w:eastAsia="Arimo" w:hAnsi="Arimo"/>
          <w:b/>
          <w:bCs/>
          <w:color w:val="67441A"/>
          <w:sz w:val="24"/>
          <w:szCs w:val="24"/>
        </w:rPr>
        <w:t xml:space="preserve">Projection Assumptions</w:t>
      </w:r>
    </w:p>
    <w:p>
      <w:pPr>
        <w:spacing w:before="180" w:after="80"/>
      </w:pPr>
      <w:r>
        <w:rPr>
          <w:rFonts w:ascii="Arimo" w:cs="Arimo" w:eastAsia="Arimo" w:hAnsi="Arimo"/>
          <w:b/>
          <w:bCs/>
          <w:color w:val="744D1F"/>
          <w:sz w:val="22"/>
          <w:szCs w:val="22"/>
        </w:rPr>
        <w:t xml:space="preserve">2026: Invest &amp; Scale Aggressively</w:t>
      </w:r>
    </w:p>
    <w:p>
      <w:pPr>
        <w:pStyle w:val="ListParagraph"/>
        <w:numPr>
          <w:ilvl w:val="0"/>
          <w:numId w:val="2"/>
        </w:numPr>
        <w:spacing w:before="40" w:after="40" w:line="276"/>
      </w:pPr>
      <w:r>
        <w:rPr>
          <w:rFonts w:ascii="Helvetica" w:cs="Helvetica" w:eastAsia="Helvetica" w:hAnsi="Helvetica"/>
          <w:color w:val="67441A"/>
          <w:sz w:val="21"/>
          <w:szCs w:val="21"/>
        </w:rPr>
        <w:t xml:space="preserve">Pre-seed close Q2 ($500K); new platform ships Q3. Operating loss of (~$202,489) reflects full event production costs including brand pass-through and cohost splits, fully funded by the raise, leaving ~$302,511 cash at year-end.</w:t>
      </w:r>
    </w:p>
    <w:p>
      <w:pPr>
        <w:pStyle w:val="ListParagraph"/>
        <w:numPr>
          <w:ilvl w:val="0"/>
          <w:numId w:val="2"/>
        </w:numPr>
        <w:spacing w:before="40" w:after="40" w:line="276"/>
      </w:pPr>
      <w:r>
        <w:rPr>
          <w:rFonts w:ascii="Helvetica" w:cs="Helvetica" w:eastAsia="Helvetica" w:hAnsi="Helvetica"/>
          <w:color w:val="67441A"/>
          <w:sz w:val="21"/>
          <w:szCs w:val="21"/>
        </w:rPr>
        <w:t xml:space="preserve">SaaS grows from 132 → 515 subscribers driven by Founder tier ($15/mo) as primary growth engine, with new Investor tier ($10/mo) scaling alongside</w:t>
      </w:r>
    </w:p>
    <w:p>
      <w:pPr>
        <w:pStyle w:val="ListParagraph"/>
        <w:numPr>
          <w:ilvl w:val="0"/>
          <w:numId w:val="2"/>
        </w:numPr>
        <w:spacing w:before="40" w:after="40" w:line="276"/>
      </w:pPr>
      <w:r>
        <w:rPr>
          <w:rFonts w:ascii="Helvetica" w:cs="Helvetica" w:eastAsia="Helvetica" w:hAnsi="Helvetica"/>
          <w:color w:val="67441A"/>
          <w:sz w:val="21"/>
          <w:szCs w:val="21"/>
        </w:rPr>
        <w:t xml:space="preserve">Coaching clients grow from 4 → 6 with dedicated sales hire and improved founder readiness tooling</w:t>
      </w:r>
    </w:p>
    <w:p>
      <w:pPr>
        <w:pStyle w:val="ListParagraph"/>
        <w:numPr>
          <w:ilvl w:val="0"/>
          <w:numId w:val="2"/>
        </w:numPr>
        <w:spacing w:before="40" w:after="40" w:line="276"/>
      </w:pPr>
      <w:r>
        <w:rPr>
          <w:rFonts w:ascii="Helvetica" w:cs="Helvetica" w:eastAsia="Helvetica" w:hAnsi="Helvetica"/>
          <w:color w:val="67441A"/>
          <w:sz w:val="21"/>
          <w:szCs w:val="21"/>
        </w:rPr>
        <w:t xml:space="preserve">First B2B sponsorship partnerships launch across Event ($10K–$25K) and Media ($2K–$5K) tiers, generating $50,000</w:t>
      </w:r>
    </w:p>
    <w:p>
      <w:pPr>
        <w:pStyle w:val="ListParagraph"/>
        <w:numPr>
          <w:ilvl w:val="0"/>
          <w:numId w:val="2"/>
        </w:numPr>
        <w:spacing w:before="40" w:after="40" w:line="276"/>
      </w:pPr>
      <w:r>
        <w:rPr>
          <w:rFonts w:ascii="Helvetica" w:cs="Helvetica" w:eastAsia="Helvetica" w:hAnsi="Helvetica"/>
          <w:color w:val="67441A"/>
          <w:sz w:val="21"/>
          <w:szCs w:val="21"/>
        </w:rPr>
        <w:t xml:space="preserve">Email list scales from 10,000 → 25,000 through brand campaigns, PR, content marketing, and event activations</w:t>
      </w:r>
    </w:p>
    <w:p>
      <w:pPr>
        <w:pStyle w:val="ListParagraph"/>
        <w:numPr>
          <w:ilvl w:val="0"/>
          <w:numId w:val="2"/>
        </w:numPr>
        <w:spacing w:before="40" w:after="40" w:line="276"/>
      </w:pPr>
      <w:r>
        <w:rPr>
          <w:rFonts w:ascii="Helvetica" w:cs="Helvetica" w:eastAsia="Helvetica" w:hAnsi="Helvetica"/>
          <w:color w:val="67441A"/>
          <w:sz w:val="21"/>
          <w:szCs w:val="21"/>
        </w:rPr>
        <w:t xml:space="preserve">Operating expenses rise to ~$498,000 (engineering, product, sales lead, marketing spend, compliance infrastructure)</w:t>
      </w:r>
    </w:p>
    <w:p>
      <w:pPr>
        <w:spacing w:before="180" w:after="80"/>
      </w:pPr>
      <w:r>
        <w:rPr>
          <w:rFonts w:ascii="Arimo" w:cs="Arimo" w:eastAsia="Arimo" w:hAnsi="Arimo"/>
          <w:b/>
          <w:bCs/>
          <w:color w:val="744D1F"/>
          <w:sz w:val="22"/>
          <w:szCs w:val="22"/>
        </w:rPr>
        <w:t xml:space="preserve">2027: Accelerate</w:t>
      </w:r>
    </w:p>
    <w:p>
      <w:pPr>
        <w:pStyle w:val="ListParagraph"/>
        <w:numPr>
          <w:ilvl w:val="0"/>
          <w:numId w:val="2"/>
        </w:numPr>
        <w:spacing w:before="40" w:after="40" w:line="276"/>
      </w:pPr>
      <w:r>
        <w:rPr>
          <w:rFonts w:ascii="Helvetica" w:cs="Helvetica" w:eastAsia="Helvetica" w:hAnsi="Helvetica"/>
          <w:color w:val="67441A"/>
          <w:sz w:val="21"/>
          <w:szCs w:val="21"/>
        </w:rPr>
        <w:t xml:space="preserve">SaaS scales to 1,650 subscribers as matchmaking, investor education, and paid channels compound; Founder tier surpasses 1,200 subscribers</w:t>
      </w:r>
    </w:p>
    <w:p>
      <w:pPr>
        <w:pStyle w:val="ListParagraph"/>
        <w:numPr>
          <w:ilvl w:val="0"/>
          <w:numId w:val="2"/>
        </w:numPr>
        <w:spacing w:before="40" w:after="40" w:line="276"/>
      </w:pPr>
      <w:r>
        <w:rPr>
          <w:rFonts w:ascii="Helvetica" w:cs="Helvetica" w:eastAsia="Helvetica" w:hAnsi="Helvetica"/>
          <w:color w:val="67441A"/>
          <w:sz w:val="21"/>
          <w:szCs w:val="21"/>
        </w:rPr>
        <w:t xml:space="preserve">Coaching scales to 15 clients across Foundation ($1K/mo) and Accelerator ($2K/mo) tiers as sales team deepens founder pipeline</w:t>
      </w:r>
    </w:p>
    <w:p>
      <w:pPr>
        <w:pStyle w:val="ListParagraph"/>
        <w:numPr>
          <w:ilvl w:val="0"/>
          <w:numId w:val="2"/>
        </w:numPr>
        <w:spacing w:before="40" w:after="40" w:line="276"/>
      </w:pPr>
      <w:r>
        <w:rPr>
          <w:rFonts w:ascii="Helvetica" w:cs="Helvetica" w:eastAsia="Helvetica" w:hAnsi="Helvetica"/>
          <w:color w:val="67441A"/>
          <w:sz w:val="21"/>
          <w:szCs w:val="21"/>
        </w:rPr>
        <w:t xml:space="preserve">B2B sponsorships scale to $255,000 across all four partnership tiers; first Ecosystem partner ($75K+) signs on for co-created programming</w:t>
      </w:r>
    </w:p>
    <w:p>
      <w:pPr>
        <w:pStyle w:val="ListParagraph"/>
        <w:numPr>
          <w:ilvl w:val="0"/>
          <w:numId w:val="2"/>
        </w:numPr>
        <w:spacing w:before="40" w:after="40" w:line="276"/>
      </w:pPr>
      <w:r>
        <w:rPr>
          <w:rFonts w:ascii="Helvetica" w:cs="Helvetica" w:eastAsia="Helvetica" w:hAnsi="Helvetica"/>
          <w:color w:val="67441A"/>
          <w:sz w:val="21"/>
          <w:szCs w:val="21"/>
        </w:rPr>
        <w:t xml:space="preserve">Grant dependence drops to $20,000 as recurring revenue becomes primary driver</w:t>
      </w:r>
    </w:p>
    <w:p>
      <w:pPr>
        <w:pStyle w:val="ListParagraph"/>
        <w:numPr>
          <w:ilvl w:val="0"/>
          <w:numId w:val="2"/>
        </w:numPr>
        <w:spacing w:before="40" w:after="40" w:line="276"/>
      </w:pPr>
      <w:r>
        <w:rPr>
          <w:rFonts w:ascii="Helvetica" w:cs="Helvetica" w:eastAsia="Helvetica" w:hAnsi="Helvetica"/>
          <w:color w:val="67441A"/>
          <w:sz w:val="21"/>
          <w:szCs w:val="21"/>
        </w:rPr>
        <w:t xml:space="preserve">Return to profitability with -5.2% operating margin as event margins improve and SaaS/coaching recurring revenue scales</w:t>
      </w:r>
    </w:p>
    <w:p>
      <w:pPr>
        <w:spacing w:before="180" w:after="80"/>
      </w:pPr>
      <w:r>
        <w:rPr>
          <w:rFonts w:ascii="Arimo" w:cs="Arimo" w:eastAsia="Arimo" w:hAnsi="Arimo"/>
          <w:b/>
          <w:bCs/>
          <w:color w:val="744D1F"/>
          <w:sz w:val="22"/>
          <w:szCs w:val="22"/>
        </w:rPr>
        <w:t xml:space="preserve">2028: Breakout</w:t>
      </w:r>
    </w:p>
    <w:p>
      <w:pPr>
        <w:pStyle w:val="ListParagraph"/>
        <w:numPr>
          <w:ilvl w:val="0"/>
          <w:numId w:val="2"/>
        </w:numPr>
        <w:spacing w:before="40" w:after="40" w:line="276"/>
      </w:pPr>
      <w:r>
        <w:rPr>
          <w:rFonts w:ascii="Helvetica" w:cs="Helvetica" w:eastAsia="Helvetica" w:hAnsi="Helvetica"/>
          <w:color w:val="67441A"/>
          <w:sz w:val="21"/>
          <w:szCs w:val="21"/>
        </w:rPr>
        <w:t xml:space="preserve">SaaS reaches 3,600 subscribers; Founder tier ($15/mo) at 2,500 subscribers anchors the platform with growing Investor and All Access tiers</w:t>
      </w:r>
    </w:p>
    <w:p>
      <w:pPr>
        <w:pStyle w:val="ListParagraph"/>
        <w:numPr>
          <w:ilvl w:val="0"/>
          <w:numId w:val="2"/>
        </w:numPr>
        <w:spacing w:before="40" w:after="40" w:line="276"/>
      </w:pPr>
      <w:r>
        <w:rPr>
          <w:rFonts w:ascii="Helvetica" w:cs="Helvetica" w:eastAsia="Helvetica" w:hAnsi="Helvetica"/>
          <w:color w:val="67441A"/>
          <w:sz w:val="21"/>
          <w:szCs w:val="21"/>
        </w:rPr>
        <w:t xml:space="preserve">33 coaching clients generating $420,000/yr as Sengo becomes the go-to platform for founder readiness coaching</w:t>
      </w:r>
    </w:p>
    <w:p>
      <w:pPr>
        <w:pStyle w:val="ListParagraph"/>
        <w:numPr>
          <w:ilvl w:val="0"/>
          <w:numId w:val="2"/>
        </w:numPr>
        <w:spacing w:before="40" w:after="40" w:line="276"/>
      </w:pPr>
      <w:r>
        <w:rPr>
          <w:rFonts w:ascii="Helvetica" w:cs="Helvetica" w:eastAsia="Helvetica" w:hAnsi="Helvetica"/>
          <w:color w:val="67441A"/>
          <w:sz w:val="21"/>
          <w:szCs w:val="21"/>
        </w:rPr>
        <w:t xml:space="preserve">B2B sponsorships reach $635,000 with multiple Ecosystem partners ($75K+) and a deep bench of Event and Platform sponsors</w:t>
      </w:r>
    </w:p>
    <w:p>
      <w:pPr>
        <w:pStyle w:val="ListParagraph"/>
        <w:numPr>
          <w:ilvl w:val="0"/>
          <w:numId w:val="2"/>
        </w:numPr>
        <w:spacing w:before="40" w:after="40" w:line="276"/>
      </w:pPr>
      <w:r>
        <w:rPr>
          <w:rFonts w:ascii="Helvetica" w:cs="Helvetica" w:eastAsia="Helvetica" w:hAnsi="Helvetica"/>
          <w:color w:val="67441A"/>
          <w:sz w:val="21"/>
          <w:szCs w:val="21"/>
        </w:rPr>
        <w:t xml:space="preserve">Zero grant dependence — fully self-sustaining on recurring and partnership revenue</w:t>
      </w:r>
    </w:p>
    <w:p>
      <w:pPr>
        <w:pStyle w:val="ListParagraph"/>
        <w:numPr>
          <w:ilvl w:val="0"/>
          <w:numId w:val="2"/>
        </w:numPr>
        <w:spacing w:before="40" w:after="40" w:line="276"/>
      </w:pPr>
      <w:r>
        <w:rPr>
          <w:rFonts w:ascii="Helvetica" w:cs="Helvetica" w:eastAsia="Helvetica" w:hAnsi="Helvetica"/>
          <w:color w:val="67441A"/>
          <w:sz w:val="21"/>
          <w:szCs w:val="21"/>
        </w:rPr>
        <w:t xml:space="preserve">$1.8M revenue at 34.3% operating margin ($615,725 operating income); self-sustaining profitability with $754K cash position and no additional capital required</w:t>
      </w:r>
    </w:p>
    <w:p>
      <w:pPr>
        <w:spacing w:before="120" w:after="0"/>
      </w:pPr>
    </w:p>
    <w:p>
      <w:pPr>
        <w:spacing w:before="240" w:after="100"/>
      </w:pPr>
      <w:r>
        <w:rPr>
          <w:rFonts w:ascii="Arimo" w:cs="Arimo" w:eastAsia="Arimo" w:hAnsi="Arimo"/>
          <w:b/>
          <w:bCs/>
          <w:color w:val="67441A"/>
          <w:sz w:val="24"/>
          <w:szCs w:val="24"/>
        </w:rPr>
        <w:t xml:space="preserve">Unit Economics</w:t>
      </w:r>
    </w:p>
    <w:p>
      <w:pPr>
        <w:pStyle w:val="ListParagraph"/>
        <w:numPr>
          <w:ilvl w:val="0"/>
          <w:numId w:val="2"/>
        </w:numPr>
        <w:spacing w:before="40" w:after="40" w:line="276"/>
      </w:pPr>
      <w:r>
        <w:rPr>
          <w:rFonts w:ascii="Helvetica" w:cs="Helvetica" w:eastAsia="Helvetica" w:hAnsi="Helvetica"/>
          <w:color w:val="67441A"/>
          <w:sz w:val="21"/>
          <w:szCs w:val="21"/>
        </w:rPr>
        <w:t xml:space="preserve">Customer Acquisition Cost (CAC): $40–$65 blended (organic community + paid social/content marketing channels)</w:t>
      </w:r>
    </w:p>
    <w:p>
      <w:pPr>
        <w:pStyle w:val="ListParagraph"/>
        <w:numPr>
          <w:ilvl w:val="0"/>
          <w:numId w:val="2"/>
        </w:numPr>
        <w:spacing w:before="40" w:after="40" w:line="276"/>
      </w:pPr>
      <w:r>
        <w:rPr>
          <w:rFonts w:ascii="Helvetica" w:cs="Helvetica" w:eastAsia="Helvetica" w:hAnsi="Helvetica"/>
          <w:color w:val="67441A"/>
          <w:sz w:val="21"/>
          <w:szCs w:val="21"/>
        </w:rPr>
        <w:t xml:space="preserve">Lifetime Value (LTV): $540–$900 (based on 3-year retention at $15–$25/month); AI-enhanced personalization expected to improve retention and expand LTV</w:t>
      </w:r>
    </w:p>
    <w:p>
      <w:pPr>
        <w:pStyle w:val="ListParagraph"/>
        <w:numPr>
          <w:ilvl w:val="0"/>
          <w:numId w:val="2"/>
        </w:numPr>
        <w:spacing w:before="40" w:after="40" w:line="276"/>
      </w:pPr>
      <w:r>
        <w:rPr>
          <w:rFonts w:ascii="Helvetica" w:cs="Helvetica" w:eastAsia="Helvetica" w:hAnsi="Helvetica"/>
          <w:color w:val="67441A"/>
          <w:sz w:val="21"/>
          <w:szCs w:val="21"/>
        </w:rPr>
        <w:t xml:space="preserve">LTV:CAC Ratio: 10–14:1, demonstrating strong capital-efficient growth even with paid channels</w:t>
      </w:r>
    </w:p>
    <w:p>
      <w:pPr>
        <w:pStyle w:val="ListParagraph"/>
        <w:numPr>
          <w:ilvl w:val="0"/>
          <w:numId w:val="2"/>
        </w:numPr>
        <w:spacing w:before="40" w:after="40" w:line="276"/>
      </w:pPr>
      <w:r>
        <w:rPr>
          <w:rFonts w:ascii="Helvetica" w:cs="Helvetica" w:eastAsia="Helvetica" w:hAnsi="Helvetica"/>
          <w:color w:val="67441A"/>
          <w:sz w:val="21"/>
          <w:szCs w:val="21"/>
        </w:rPr>
        <w:t xml:space="preserve">Current email → subscriber conversion: 1.3% (132/10,000); target 4–6% with dedicated marketing funnel and onboarding optimization</w:t>
      </w:r>
    </w:p>
    <w:p>
      <w:pPr>
        <w:pStyle w:val="ListParagraph"/>
        <w:numPr>
          <w:ilvl w:val="0"/>
          <w:numId w:val="2"/>
        </w:numPr>
        <w:spacing w:before="40" w:after="40" w:line="276"/>
      </w:pPr>
      <w:r>
        <w:rPr>
          <w:rFonts w:ascii="Helvetica" w:cs="Helvetica" w:eastAsia="Helvetica" w:hAnsi="Helvetica"/>
          <w:color w:val="67441A"/>
          <w:sz w:val="21"/>
          <w:szCs w:val="21"/>
        </w:rPr>
        <w:t xml:space="preserve">Current subscriber → coaching conversion: 3.0% (4/132); sales team expected to drive this to 4–5% through active outbound</w:t>
      </w:r>
    </w:p>
    <w:p>
      <w:r>
        <w:br w:type="page"/>
      </w:r>
    </w:p>
    <w:p>
      <w:pPr>
        <w:spacing w:before="240" w:after="100"/>
      </w:pPr>
      <w:r>
        <w:rPr>
          <w:rFonts w:ascii="Arimo" w:cs="Arimo" w:eastAsia="Arimo" w:hAnsi="Arimo"/>
          <w:b/>
          <w:bCs/>
          <w:color w:val="67441A"/>
          <w:sz w:val="24"/>
          <w:szCs w:val="24"/>
        </w:rPr>
        <w:t xml:space="preserve">Marketing Plan</w:t>
      </w:r>
    </w:p>
    <w:p>
      <w:pPr>
        <w:spacing w:before="60" w:after="60" w:line="276"/>
        <w:jc w:val="left"/>
      </w:pPr>
      <w:r>
        <w:rPr>
          <w:rFonts w:ascii="Helvetica" w:cs="Helvetica" w:eastAsia="Helvetica" w:hAnsi="Helvetica"/>
          <w:color w:val="67441A"/>
          <w:sz w:val="21"/>
          <w:szCs w:val="21"/>
        </w:rPr>
        <w:t xml:space="preserve">Sengo’s marketing strategy is designed to scale public presence, deepen community engagement, and drive subscriber growth through five channels. Each channel is budgeted annually and tied to measurable outcomes.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2760"/>
      </w:tblGrid>
      <w:tr>
        <w:tc>
          <w:tcPr>
            <w:tcW w:type="dxa" w:w="2200"/>
            <w:tcBorders>
              <w:top w:val="none" w:color="FFFFFF" w:sz="0"/>
              <w:left w:val="none" w:color="FFFFFF" w:sz="0"/>
              <w:bottom w:val="single" w:color="D57028" w:sz="2"/>
              <w:right w:val="none" w:color="FFFFFF" w:sz="0"/>
            </w:tcBorders>
            <w:shd w:fill="1B3533" w:val="clear"/>
            <w:tcMar>
              <w:top w:type="dxa" w:w="70"/>
              <w:left w:type="dxa" w:w="80"/>
              <w:bottom w:type="dxa" w:w="70"/>
              <w:right w:type="dxa" w:w="80"/>
            </w:tcMar>
          </w:tcPr>
          <w:p>
            <w:pPr>
              <w:jc w:val="left"/>
            </w:pPr>
            <w:r>
              <w:rPr>
                <w:rFonts w:ascii="Helvetica" w:cs="Helvetica" w:eastAsia="Helvetica" w:hAnsi="Helvetica"/>
                <w:b/>
                <w:bCs/>
                <w:color w:val="FFFFFF"/>
                <w:sz w:val="16"/>
                <w:szCs w:val="16"/>
              </w:rPr>
              <w:t xml:space="preserve">Channel</w:t>
            </w:r>
          </w:p>
        </w:tc>
        <w:tc>
          <w:tcPr>
            <w:tcW w:type="dxa" w:w="1100"/>
            <w:tcBorders>
              <w:top w:val="none" w:color="FFFFFF" w:sz="0"/>
              <w:left w:val="none" w:color="FFFFFF" w:sz="0"/>
              <w:bottom w:val="single" w:color="D57028" w:sz="2"/>
              <w:right w:val="none" w:color="FFFFFF" w:sz="0"/>
            </w:tcBorders>
            <w:shd w:fill="1B3533" w:val="clear"/>
            <w:tcMar>
              <w:top w:type="dxa" w:w="70"/>
              <w:left w:type="dxa" w:w="80"/>
              <w:bottom w:type="dxa" w:w="70"/>
              <w:right w:type="dxa" w:w="80"/>
            </w:tcMar>
          </w:tcPr>
          <w:p>
            <w:pPr>
              <w:jc w:val="center"/>
            </w:pPr>
            <w:r>
              <w:rPr>
                <w:rFonts w:ascii="Helvetica" w:cs="Helvetica" w:eastAsia="Helvetica" w:hAnsi="Helvetica"/>
                <w:b/>
                <w:bCs/>
                <w:color w:val="FFFFFF"/>
                <w:sz w:val="16"/>
                <w:szCs w:val="16"/>
              </w:rPr>
              <w:t xml:space="preserve">2025</w:t>
            </w:r>
          </w:p>
        </w:tc>
        <w:tc>
          <w:tcPr>
            <w:tcW w:type="dxa" w:w="1100"/>
            <w:tcBorders>
              <w:top w:val="none" w:color="FFFFFF" w:sz="0"/>
              <w:left w:val="none" w:color="FFFFFF" w:sz="0"/>
              <w:bottom w:val="single" w:color="D57028" w:sz="2"/>
              <w:right w:val="none" w:color="FFFFFF" w:sz="0"/>
            </w:tcBorders>
            <w:shd w:fill="1B3533" w:val="clear"/>
            <w:tcMar>
              <w:top w:type="dxa" w:w="70"/>
              <w:left w:type="dxa" w:w="80"/>
              <w:bottom w:type="dxa" w:w="70"/>
              <w:right w:type="dxa" w:w="80"/>
            </w:tcMar>
          </w:tcPr>
          <w:p>
            <w:pPr>
              <w:jc w:val="center"/>
            </w:pPr>
            <w:r>
              <w:rPr>
                <w:rFonts w:ascii="Helvetica" w:cs="Helvetica" w:eastAsia="Helvetica" w:hAnsi="Helvetica"/>
                <w:b/>
                <w:bCs/>
                <w:color w:val="FFFFFF"/>
                <w:sz w:val="16"/>
                <w:szCs w:val="16"/>
              </w:rPr>
              <w:t xml:space="preserve">2026</w:t>
            </w:r>
          </w:p>
        </w:tc>
        <w:tc>
          <w:tcPr>
            <w:tcW w:type="dxa" w:w="1100"/>
            <w:tcBorders>
              <w:top w:val="none" w:color="FFFFFF" w:sz="0"/>
              <w:left w:val="none" w:color="FFFFFF" w:sz="0"/>
              <w:bottom w:val="single" w:color="D57028" w:sz="2"/>
              <w:right w:val="none" w:color="FFFFFF" w:sz="0"/>
            </w:tcBorders>
            <w:shd w:fill="1B3533" w:val="clear"/>
            <w:tcMar>
              <w:top w:type="dxa" w:w="70"/>
              <w:left w:type="dxa" w:w="80"/>
              <w:bottom w:type="dxa" w:w="70"/>
              <w:right w:type="dxa" w:w="80"/>
            </w:tcMar>
          </w:tcPr>
          <w:p>
            <w:pPr>
              <w:jc w:val="center"/>
            </w:pPr>
            <w:r>
              <w:rPr>
                <w:rFonts w:ascii="Helvetica" w:cs="Helvetica" w:eastAsia="Helvetica" w:hAnsi="Helvetica"/>
                <w:b/>
                <w:bCs/>
                <w:color w:val="FFFFFF"/>
                <w:sz w:val="16"/>
                <w:szCs w:val="16"/>
              </w:rPr>
              <w:t xml:space="preserve">2027</w:t>
            </w:r>
          </w:p>
        </w:tc>
        <w:tc>
          <w:tcPr>
            <w:tcW w:type="dxa" w:w="1100"/>
            <w:tcBorders>
              <w:top w:val="none" w:color="FFFFFF" w:sz="0"/>
              <w:left w:val="none" w:color="FFFFFF" w:sz="0"/>
              <w:bottom w:val="single" w:color="D57028" w:sz="2"/>
              <w:right w:val="none" w:color="FFFFFF" w:sz="0"/>
            </w:tcBorders>
            <w:shd w:fill="1B3533" w:val="clear"/>
            <w:tcMar>
              <w:top w:type="dxa" w:w="70"/>
              <w:left w:type="dxa" w:w="80"/>
              <w:bottom w:type="dxa" w:w="70"/>
              <w:right w:type="dxa" w:w="80"/>
            </w:tcMar>
          </w:tcPr>
          <w:p>
            <w:pPr>
              <w:jc w:val="center"/>
            </w:pPr>
            <w:r>
              <w:rPr>
                <w:rFonts w:ascii="Helvetica" w:cs="Helvetica" w:eastAsia="Helvetica" w:hAnsi="Helvetica"/>
                <w:b/>
                <w:bCs/>
                <w:color w:val="FFFFFF"/>
                <w:sz w:val="16"/>
                <w:szCs w:val="16"/>
              </w:rPr>
              <w:t xml:space="preserve">2028</w:t>
            </w:r>
          </w:p>
        </w:tc>
        <w:tc>
          <w:tcPr>
            <w:tcW w:type="dxa" w:w="2760"/>
            <w:tcBorders>
              <w:top w:val="none" w:color="FFFFFF" w:sz="0"/>
              <w:left w:val="none" w:color="FFFFFF" w:sz="0"/>
              <w:bottom w:val="single" w:color="D57028" w:sz="2"/>
              <w:right w:val="none" w:color="FFFFFF" w:sz="0"/>
            </w:tcBorders>
            <w:shd w:fill="1B3533" w:val="clear"/>
            <w:tcMar>
              <w:top w:type="dxa" w:w="70"/>
              <w:left w:type="dxa" w:w="80"/>
              <w:bottom w:type="dxa" w:w="70"/>
              <w:right w:type="dxa" w:w="80"/>
            </w:tcMar>
          </w:tcPr>
          <w:p>
            <w:pPr>
              <w:jc w:val="center"/>
            </w:pPr>
            <w:r>
              <w:rPr>
                <w:rFonts w:ascii="Helvetica" w:cs="Helvetica" w:eastAsia="Helvetica" w:hAnsi="Helvetica"/>
                <w:b/>
                <w:bCs/>
                <w:color w:val="FFFFFF"/>
                <w:sz w:val="16"/>
                <w:szCs w:val="16"/>
              </w:rPr>
              <w:t xml:space="preserve">Focus</w:t>
            </w:r>
          </w:p>
        </w:tc>
      </w:tr>
      <w:tr>
        <w:tc>
          <w:tcPr>
            <w:tcW w:type="dxa" w:w="220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r>
              <w:rPr>
                <w:rFonts w:ascii="Helvetica" w:cs="Helvetica" w:eastAsia="Helvetica" w:hAnsi="Helvetica"/>
                <w:b w:val="false"/>
                <w:bCs w:val="false"/>
                <w:color w:val="67441A"/>
                <w:sz w:val="16"/>
                <w:szCs w:val="16"/>
              </w:rPr>
              <w:t xml:space="preserve">Conferences &amp; Speaking</w:t>
            </w:r>
          </w:p>
        </w:tc>
        <w:tc>
          <w:tcPr>
            <w:tcW w:type="dxa" w:w="110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$1,500</w:t>
            </w:r>
          </w:p>
        </w:tc>
        <w:tc>
          <w:tcPr>
            <w:tcW w:type="dxa" w:w="110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$20,000</w:t>
            </w:r>
          </w:p>
        </w:tc>
        <w:tc>
          <w:tcPr>
            <w:tcW w:type="dxa" w:w="110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$30,000</w:t>
            </w:r>
          </w:p>
        </w:tc>
        <w:tc>
          <w:tcPr>
            <w:tcW w:type="dxa" w:w="110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$40,000</w:t>
            </w:r>
          </w:p>
        </w:tc>
        <w:tc>
          <w:tcPr>
            <w:tcW w:type="dxa" w:w="276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r>
              <w:rPr>
                <w:rFonts w:ascii="Helvetica" w:cs="Helvetica" w:eastAsia="Helvetica" w:hAnsi="Helvetica"/>
                <w:b w:val="false"/>
                <w:bCs w:val="false"/>
                <w:color w:val="67441A"/>
                <w:sz w:val="16"/>
                <w:szCs w:val="16"/>
              </w:rPr>
              <w:t xml:space="preserve">Booths, sponsorships, speaker travel</w:t>
            </w:r>
          </w:p>
        </w:tc>
      </w:tr>
      <w:tr>
        <w:tc>
          <w:tcPr>
            <w:tcW w:type="dxa" w:w="220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r>
              <w:rPr>
                <w:rFonts w:ascii="Helvetica" w:cs="Helvetica" w:eastAsia="Helvetica" w:hAnsi="Helvetica"/>
                <w:b w:val="false"/>
                <w:bCs w:val="false"/>
                <w:color w:val="67441A"/>
                <w:sz w:val="16"/>
                <w:szCs w:val="16"/>
              </w:rPr>
              <w:t xml:space="preserve">Social Media &amp; Content</w:t>
            </w:r>
          </w:p>
        </w:tc>
        <w:tc>
          <w:tcPr>
            <w:tcW w:type="dxa" w:w="110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$2,000</w:t>
            </w:r>
          </w:p>
        </w:tc>
        <w:tc>
          <w:tcPr>
            <w:tcW w:type="dxa" w:w="110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$25,000</w:t>
            </w:r>
          </w:p>
        </w:tc>
        <w:tc>
          <w:tcPr>
            <w:tcW w:type="dxa" w:w="110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$35,000</w:t>
            </w:r>
          </w:p>
        </w:tc>
        <w:tc>
          <w:tcPr>
            <w:tcW w:type="dxa" w:w="110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$45,000</w:t>
            </w:r>
          </w:p>
        </w:tc>
        <w:tc>
          <w:tcPr>
            <w:tcW w:type="dxa" w:w="276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r>
              <w:rPr>
                <w:rFonts w:ascii="Helvetica" w:cs="Helvetica" w:eastAsia="Helvetica" w:hAnsi="Helvetica"/>
                <w:b w:val="false"/>
                <w:bCs w:val="false"/>
                <w:color w:val="67441A"/>
                <w:sz w:val="16"/>
                <w:szCs w:val="16"/>
              </w:rPr>
              <w:t xml:space="preserve">Content creation, social mgmt, video</w:t>
            </w:r>
          </w:p>
        </w:tc>
      </w:tr>
      <w:tr>
        <w:tc>
          <w:tcPr>
            <w:tcW w:type="dxa" w:w="220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r>
              <w:rPr>
                <w:rFonts w:ascii="Helvetica" w:cs="Helvetica" w:eastAsia="Helvetica" w:hAnsi="Helvetica"/>
                <w:b w:val="false"/>
                <w:bCs w:val="false"/>
                <w:color w:val="67441A"/>
                <w:sz w:val="16"/>
                <w:szCs w:val="16"/>
              </w:rPr>
              <w:t xml:space="preserve">Paid Ads (Digital)</w:t>
            </w:r>
          </w:p>
        </w:tc>
        <w:tc>
          <w:tcPr>
            <w:tcW w:type="dxa" w:w="110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$500</w:t>
            </w:r>
          </w:p>
        </w:tc>
        <w:tc>
          <w:tcPr>
            <w:tcW w:type="dxa" w:w="110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$35,000</w:t>
            </w:r>
          </w:p>
        </w:tc>
        <w:tc>
          <w:tcPr>
            <w:tcW w:type="dxa" w:w="110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$50,000</w:t>
            </w:r>
          </w:p>
        </w:tc>
        <w:tc>
          <w:tcPr>
            <w:tcW w:type="dxa" w:w="110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$60,000</w:t>
            </w:r>
          </w:p>
        </w:tc>
        <w:tc>
          <w:tcPr>
            <w:tcW w:type="dxa" w:w="276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r>
              <w:rPr>
                <w:rFonts w:ascii="Helvetica" w:cs="Helvetica" w:eastAsia="Helvetica" w:hAnsi="Helvetica"/>
                <w:b w:val="false"/>
                <w:bCs w:val="false"/>
                <w:color w:val="67441A"/>
                <w:sz w:val="16"/>
                <w:szCs w:val="16"/>
              </w:rPr>
              <w:t xml:space="preserve">Meta, Google, LinkedIn campaigns</w:t>
            </w:r>
          </w:p>
        </w:tc>
      </w:tr>
      <w:tr>
        <w:tc>
          <w:tcPr>
            <w:tcW w:type="dxa" w:w="220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r>
              <w:rPr>
                <w:rFonts w:ascii="Helvetica" w:cs="Helvetica" w:eastAsia="Helvetica" w:hAnsi="Helvetica"/>
                <w:b w:val="false"/>
                <w:bCs w:val="false"/>
                <w:color w:val="67441A"/>
                <w:sz w:val="16"/>
                <w:szCs w:val="16"/>
              </w:rPr>
              <w:t xml:space="preserve">PR &amp; Brand Campaigns</w:t>
            </w:r>
          </w:p>
        </w:tc>
        <w:tc>
          <w:tcPr>
            <w:tcW w:type="dxa" w:w="110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$2,000</w:t>
            </w:r>
          </w:p>
        </w:tc>
        <w:tc>
          <w:tcPr>
            <w:tcW w:type="dxa" w:w="110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$20,000</w:t>
            </w:r>
          </w:p>
        </w:tc>
        <w:tc>
          <w:tcPr>
            <w:tcW w:type="dxa" w:w="110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$30,000</w:t>
            </w:r>
          </w:p>
        </w:tc>
        <w:tc>
          <w:tcPr>
            <w:tcW w:type="dxa" w:w="110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$40,000</w:t>
            </w:r>
          </w:p>
        </w:tc>
        <w:tc>
          <w:tcPr>
            <w:tcW w:type="dxa" w:w="276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r>
              <w:rPr>
                <w:rFonts w:ascii="Helvetica" w:cs="Helvetica" w:eastAsia="Helvetica" w:hAnsi="Helvetica"/>
                <w:b w:val="false"/>
                <w:bCs w:val="false"/>
                <w:color w:val="67441A"/>
                <w:sz w:val="16"/>
                <w:szCs w:val="16"/>
              </w:rPr>
              <w:t xml:space="preserve">Press, influencer, brand partnerships</w:t>
            </w:r>
          </w:p>
        </w:tc>
      </w:tr>
      <w:tr>
        <w:tc>
          <w:tcPr>
            <w:tcW w:type="dxa" w:w="220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r>
              <w:rPr>
                <w:rFonts w:ascii="Helvetica" w:cs="Helvetica" w:eastAsia="Helvetica" w:hAnsi="Helvetica"/>
                <w:b w:val="false"/>
                <w:bCs w:val="false"/>
                <w:color w:val="67441A"/>
                <w:sz w:val="16"/>
                <w:szCs w:val="16"/>
              </w:rPr>
              <w:t xml:space="preserve">Grant Deployment</w:t>
            </w:r>
          </w:p>
        </w:tc>
        <w:tc>
          <w:tcPr>
            <w:tcW w:type="dxa" w:w="110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$2,000</w:t>
            </w:r>
          </w:p>
        </w:tc>
        <w:tc>
          <w:tcPr>
            <w:tcW w:type="dxa" w:w="110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$10,000</w:t>
            </w:r>
          </w:p>
        </w:tc>
        <w:tc>
          <w:tcPr>
            <w:tcW w:type="dxa" w:w="110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$15,000</w:t>
            </w:r>
          </w:p>
        </w:tc>
        <w:tc>
          <w:tcPr>
            <w:tcW w:type="dxa" w:w="110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pPr>
              <w:jc w:val="center"/>
            </w:pPr>
            <w:r>
              <w:rPr>
                <w:rFonts w:ascii="Helvetica" w:cs="Helvetica" w:eastAsia="Helvetica" w:hAnsi="Helvetica"/>
                <w:b w:val="false"/>
                <w:bCs w:val="false"/>
                <w:color w:val="67441A"/>
                <w:sz w:val="16"/>
                <w:szCs w:val="16"/>
              </w:rPr>
              <w:t xml:space="preserve">$15,000</w:t>
            </w:r>
          </w:p>
        </w:tc>
        <w:tc>
          <w:tcPr>
            <w:tcW w:type="dxa" w:w="2760"/>
            <w:tcBorders>
              <w:top w:val="single" w:color="D4C5B0" w:sz="1"/>
              <w:left w:val="single" w:color="D4C5B0" w:sz="1"/>
              <w:bottom w:val="single" w:color="D4C5B0" w:sz="1"/>
              <w:right w:val="single" w:color="D4C5B0" w:sz="1"/>
            </w:tcBorders>
            <w:shd w:fill="F3EDE7" w:val="clear"/>
            <w:tcMar>
              <w:top w:type="dxa" w:w="55"/>
              <w:left w:type="dxa" w:w="80"/>
              <w:bottom w:type="dxa" w:w="55"/>
              <w:right w:type="dxa" w:w="80"/>
            </w:tcMar>
          </w:tcPr>
          <w:p>
            <w:r>
              <w:rPr>
                <w:rFonts w:ascii="Helvetica" w:cs="Helvetica" w:eastAsia="Helvetica" w:hAnsi="Helvetica"/>
                <w:b w:val="false"/>
                <w:bCs w:val="false"/>
                <w:color w:val="67441A"/>
                <w:sz w:val="16"/>
                <w:szCs w:val="16"/>
              </w:rPr>
              <w:t xml:space="preserve">Micro-grants to founders in community</w:t>
            </w:r>
          </w:p>
        </w:tc>
      </w:tr>
      <w:tr>
        <w:tc>
          <w:tcPr>
            <w:tcW w:type="dxa" w:w="220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r>
              <w:rPr>
                <w:rFonts w:ascii="Helvetica" w:cs="Helvetica" w:eastAsia="Helvetica" w:hAnsi="Helvetica"/>
                <w:b/>
                <w:bCs/>
                <w:color w:val="67441A"/>
                <w:sz w:val="16"/>
                <w:szCs w:val="16"/>
              </w:rPr>
              <w:t xml:space="preserve">Total Marketing</w:t>
            </w:r>
          </w:p>
        </w:tc>
        <w:tc>
          <w:tcPr>
            <w:tcW w:type="dxa" w:w="110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pPr>
              <w:jc w:val="center"/>
            </w:pPr>
            <w:r>
              <w:rPr>
                <w:rFonts w:ascii="Helvetica" w:cs="Helvetica" w:eastAsia="Helvetica" w:hAnsi="Helvetica"/>
                <w:b/>
                <w:bCs/>
                <w:color w:val="D57028"/>
                <w:sz w:val="16"/>
                <w:szCs w:val="16"/>
              </w:rPr>
              <w:t xml:space="preserve">$8,000</w:t>
            </w:r>
          </w:p>
        </w:tc>
        <w:tc>
          <w:tcPr>
            <w:tcW w:type="dxa" w:w="110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pPr>
              <w:jc w:val="center"/>
            </w:pPr>
            <w:r>
              <w:rPr>
                <w:rFonts w:ascii="Helvetica" w:cs="Helvetica" w:eastAsia="Helvetica" w:hAnsi="Helvetica"/>
                <w:b/>
                <w:bCs/>
                <w:color w:val="D57028"/>
                <w:sz w:val="16"/>
                <w:szCs w:val="16"/>
              </w:rPr>
              <w:t xml:space="preserve">$110,000</w:t>
            </w:r>
          </w:p>
        </w:tc>
        <w:tc>
          <w:tcPr>
            <w:tcW w:type="dxa" w:w="110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pPr>
              <w:jc w:val="center"/>
            </w:pPr>
            <w:r>
              <w:rPr>
                <w:rFonts w:ascii="Helvetica" w:cs="Helvetica" w:eastAsia="Helvetica" w:hAnsi="Helvetica"/>
                <w:b/>
                <w:bCs/>
                <w:color w:val="D57028"/>
                <w:sz w:val="16"/>
                <w:szCs w:val="16"/>
              </w:rPr>
              <w:t xml:space="preserve">$160,000</w:t>
            </w:r>
          </w:p>
        </w:tc>
        <w:tc>
          <w:tcPr>
            <w:tcW w:type="dxa" w:w="110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pPr>
              <w:jc w:val="center"/>
            </w:pPr>
            <w:r>
              <w:rPr>
                <w:rFonts w:ascii="Helvetica" w:cs="Helvetica" w:eastAsia="Helvetica" w:hAnsi="Helvetica"/>
                <w:b/>
                <w:bCs/>
                <w:color w:val="D57028"/>
                <w:sz w:val="16"/>
                <w:szCs w:val="16"/>
              </w:rPr>
              <w:t xml:space="preserve">$200,000</w:t>
            </w:r>
          </w:p>
        </w:tc>
        <w:tc>
          <w:tcPr>
            <w:tcW w:type="dxa" w:w="2760"/>
            <w:tcBorders>
              <w:top w:val="single" w:color="D4C5B0" w:sz="1"/>
              <w:left w:val="single" w:color="D4C5B0" w:sz="1"/>
              <w:bottom w:val="single" w:color="D4C5B0" w:sz="1"/>
              <w:right w:val="single" w:color="D4C5B0" w:sz="1"/>
            </w:tcBorders>
            <w:shd w:fill="FFFFFF" w:val="clear"/>
            <w:tcMar>
              <w:top w:type="dxa" w:w="55"/>
              <w:left w:type="dxa" w:w="80"/>
              <w:bottom w:type="dxa" w:w="55"/>
              <w:right w:type="dxa" w:w="80"/>
            </w:tcMar>
          </w:tcPr>
          <w:p>
            <w:r>
              <w:rPr>
                <w:rFonts w:ascii="Helvetica" w:cs="Helvetica" w:eastAsia="Helvetica" w:hAnsi="Helvetica"/>
                <w:b w:val="false"/>
                <w:bCs w:val="false"/>
                <w:color w:val="67441A"/>
                <w:sz w:val="16"/>
                <w:szCs w:val="16"/>
              </w:rPr>
              <w:t xml:space="preserve"/>
            </w:r>
          </w:p>
        </w:tc>
      </w:tr>
    </w:tbl>
    <w:p>
      <w:pPr>
        <w:spacing w:before="80" w:after="0"/>
      </w:pPr>
    </w:p>
    <w:p>
      <w:pPr>
        <w:spacing w:before="180" w:after="80"/>
      </w:pPr>
      <w:r>
        <w:rPr>
          <w:rFonts w:ascii="Arimo" w:cs="Arimo" w:eastAsia="Arimo" w:hAnsi="Arimo"/>
          <w:b/>
          <w:bCs/>
          <w:color w:val="744D1F"/>
          <w:sz w:val="22"/>
          <w:szCs w:val="22"/>
        </w:rPr>
        <w:t xml:space="preserve">Conferences &amp; Speaking Engagements</w:t>
      </w:r>
    </w:p>
    <w:p>
      <w:pPr>
        <w:spacing w:before="60" w:after="60" w:line="276"/>
        <w:jc w:val="left"/>
      </w:pPr>
      <w:r>
        <w:rPr>
          <w:rFonts w:ascii="Helvetica" w:cs="Helvetica" w:eastAsia="Helvetica" w:hAnsi="Helvetica"/>
          <w:color w:val="67441A"/>
          <w:sz w:val="21"/>
          <w:szCs w:val="21"/>
        </w:rPr>
        <w:t xml:space="preserve">Ila is an active speaker and panelist at fintech, startup, and impact investing conferences. In 2025, Sengo participated in SXSW, AfroTech, eMerge Americas, and multiple regional pitch events. By 2027, Sengo will sponsor and anchor its own flagship events while maintaining a presence at 8–10 industry conferences per year. Speaker slots generate brand visibility, media coverage, and direct B2B partner introductions.</w:t>
      </w:r>
    </w:p>
    <w:p>
      <w:pPr>
        <w:spacing w:before="40" w:after="0"/>
      </w:pPr>
    </w:p>
    <w:p>
      <w:pPr>
        <w:spacing w:before="180" w:after="80"/>
      </w:pPr>
      <w:r>
        <w:rPr>
          <w:rFonts w:ascii="Arimo" w:cs="Arimo" w:eastAsia="Arimo" w:hAnsi="Arimo"/>
          <w:b/>
          <w:bCs/>
          <w:color w:val="744D1F"/>
          <w:sz w:val="22"/>
          <w:szCs w:val="22"/>
        </w:rPr>
        <w:t xml:space="preserve">Social Media &amp; Content Marketing</w:t>
      </w:r>
    </w:p>
    <w:p>
      <w:pPr>
        <w:spacing w:before="60" w:after="60" w:line="276"/>
        <w:jc w:val="left"/>
      </w:pPr>
      <w:r>
        <w:rPr>
          <w:rFonts w:ascii="Helvetica" w:cs="Helvetica" w:eastAsia="Helvetica" w:hAnsi="Helvetica"/>
          <w:color w:val="67441A"/>
          <w:sz w:val="21"/>
          <w:szCs w:val="21"/>
        </w:rPr>
        <w:t xml:space="preserve">Content is Sengo’s organic growth engine. The newsletter reaches 10,000+ subscribers with a 46.5% open rate—four times the industry average. In 2026, marketing investment scales to $25K for professional content production (video, short-form social, thought leadership), social media management, and a dedicated content calendar. The goal is to reach 25,000 email subscribers by year-end 2026 and 60,000 by 2027.</w:t>
      </w:r>
    </w:p>
    <w:p>
      <w:pPr>
        <w:spacing w:before="40" w:after="0"/>
      </w:pPr>
    </w:p>
    <w:p>
      <w:pPr>
        <w:spacing w:before="180" w:after="80"/>
      </w:pPr>
      <w:r>
        <w:rPr>
          <w:rFonts w:ascii="Arimo" w:cs="Arimo" w:eastAsia="Arimo" w:hAnsi="Arimo"/>
          <w:b/>
          <w:bCs/>
          <w:color w:val="744D1F"/>
          <w:sz w:val="22"/>
          <w:szCs w:val="22"/>
        </w:rPr>
        <w:t xml:space="preserve">Paid Advertising</w:t>
      </w:r>
    </w:p>
    <w:p>
      <w:pPr>
        <w:spacing w:before="60" w:after="60" w:line="276"/>
        <w:jc w:val="left"/>
      </w:pPr>
      <w:r>
        <w:rPr>
          <w:rFonts w:ascii="Helvetica" w:cs="Helvetica" w:eastAsia="Helvetica" w:hAnsi="Helvetica"/>
          <w:color w:val="67441A"/>
          <w:sz w:val="21"/>
          <w:szCs w:val="21"/>
        </w:rPr>
        <w:t xml:space="preserve">Paid digital campaigns launch in Q2 2026 once the new platform is live. The $35K budget targets Meta, Google, and LinkedIn with audience segmentation focused on founders seeking capital readiness resources and potential investors interested in private market education. Blended CAC target: $40–$65. As channels prove out, the budget scales to $50K (2027) and $60K (2028) with performance-based allocation.</w:t>
      </w:r>
    </w:p>
    <w:p>
      <w:pPr>
        <w:spacing w:before="40" w:after="0"/>
      </w:pPr>
    </w:p>
    <w:p>
      <w:pPr>
        <w:spacing w:before="180" w:after="80"/>
      </w:pPr>
      <w:r>
        <w:rPr>
          <w:rFonts w:ascii="Arimo" w:cs="Arimo" w:eastAsia="Arimo" w:hAnsi="Arimo"/>
          <w:b/>
          <w:bCs/>
          <w:color w:val="744D1F"/>
          <w:sz w:val="22"/>
          <w:szCs w:val="22"/>
        </w:rPr>
        <w:t xml:space="preserve">PR &amp; Brand Campaigns</w:t>
      </w:r>
    </w:p>
    <w:p>
      <w:pPr>
        <w:spacing w:before="60" w:after="60" w:line="276"/>
        <w:jc w:val="left"/>
      </w:pPr>
      <w:r>
        <w:rPr>
          <w:rFonts w:ascii="Helvetica" w:cs="Helvetica" w:eastAsia="Helvetica" w:hAnsi="Helvetica"/>
          <w:color w:val="67441A"/>
          <w:sz w:val="21"/>
          <w:szCs w:val="21"/>
        </w:rPr>
        <w:t xml:space="preserve">Sengo’s brand story—democratizing private markets through culture and community—resonates strongly with press and media. PR efforts include press releases around major milestones, influencer partnerships (finance and lifestyle creators), and co-branded campaigns with B2B partners. The Fashion x Futures franchise is a key brand differentiator that generates earned media and cultural credibility.</w:t>
      </w:r>
    </w:p>
    <w:p>
      <w:pPr>
        <w:spacing w:before="40" w:after="0"/>
      </w:pPr>
    </w:p>
    <w:p>
      <w:pPr>
        <w:spacing w:before="180" w:after="80"/>
      </w:pPr>
      <w:r>
        <w:rPr>
          <w:rFonts w:ascii="Arimo" w:cs="Arimo" w:eastAsia="Arimo" w:hAnsi="Arimo"/>
          <w:b/>
          <w:bCs/>
          <w:color w:val="744D1F"/>
          <w:sz w:val="22"/>
          <w:szCs w:val="22"/>
        </w:rPr>
        <w:t xml:space="preserve">Grant Deployment</w:t>
      </w:r>
    </w:p>
    <w:p>
      <w:pPr>
        <w:spacing w:before="60" w:after="60" w:line="276"/>
        <w:jc w:val="left"/>
      </w:pPr>
      <w:r>
        <w:rPr>
          <w:rFonts w:ascii="Helvetica" w:cs="Helvetica" w:eastAsia="Helvetica" w:hAnsi="Helvetica"/>
          <w:color w:val="67441A"/>
          <w:sz w:val="21"/>
          <w:szCs w:val="21"/>
        </w:rPr>
        <w:t xml:space="preserve">Sengo deploys micro-grants directly to founders in its community, reinforcing the platform’s mission of democratizing access to capital. Starting at $2,000 in 2025, the grant deployment budget scales to $15,000 by 2028 as revenue grows. These grants fund founder milestones—pitch deck development, legal entity formation, first hires—and create powerful feedback loops: grant recipients become loyal platform users, case studies, and community advocates. Grant deployment is a marketing and retention strategy, not a cost center.</w:t>
      </w:r>
    </w:p>
    <w:p>
      <w:pPr>
        <w:spacing w:before="60" w:after="0"/>
      </w:pPr>
    </w:p>
    <w:p>
      <w:pPr>
        <w:shd w:fill="F3EDE7" w:val="clear"/>
        <w:spacing w:before="80" w:after="80"/>
        <w:ind w:left="200" w:right="200"/>
      </w:pPr>
      <w:r>
        <w:rPr>
          <w:rFonts w:ascii="Helvetica" w:cs="Helvetica" w:eastAsia="Helvetica" w:hAnsi="Helvetica"/>
          <w:i/>
          <w:iCs/>
          <w:color w:val="1B3533"/>
          <w:sz w:val="20"/>
          <w:szCs w:val="20"/>
        </w:rPr>
        <w:t xml:space="preserve">Marketing investment grows from $8K (bootstrapped 2025) to $200K (funded 2028)—a 25X increase that reflects the shift from organic hustle to systematic, measurable growth across all channels.</w:t>
      </w:r>
    </w:p>
    <w:p>
      <w:r>
        <w:br w:type="page"/>
      </w:r>
    </w:p>
    <w:p>
      <w:pPr>
        <w:spacing w:before="360" w:after="60"/>
      </w:pPr>
      <w:r>
        <w:rPr>
          <w:rFonts w:ascii="Arimo" w:cs="Arimo" w:eastAsia="Arimo" w:hAnsi="Arimo"/>
          <w:b/>
          <w:bCs/>
          <w:color w:val="1B3533"/>
          <w:sz w:val="28"/>
          <w:szCs w:val="28"/>
        </w:rPr>
        <w:t xml:space="preserve">INVESTMENT OPPORTUNITY</w:t>
      </w:r>
    </w:p>
    <w:p>
      <w:pPr>
        <w:pBdr>
          <w:bottom w:val="single" w:color="D57028" w:sz="4" w:space="8"/>
        </w:pBdr>
        <w:spacing w:before="200" w:after="200"/>
      </w:pPr>
    </w:p>
    <w:p>
      <w:pPr>
        <w:spacing w:before="120" w:after="60"/>
        <w:jc w:val="center"/>
      </w:pPr>
      <w:r>
        <w:rPr>
          <w:rFonts w:ascii="Arimo" w:cs="Arimo" w:eastAsia="Arimo" w:hAnsi="Arimo"/>
          <w:b/>
          <w:bCs/>
          <w:color w:val="1B3533"/>
          <w:sz w:val="36"/>
          <w:szCs w:val="36"/>
        </w:rPr>
        <w:t xml:space="preserve">$500,000 Pre-Seed Round</w:t>
      </w:r>
    </w:p>
    <w:p>
      <w:pPr>
        <w:spacing w:before="0" w:after="200"/>
        <w:jc w:val="center"/>
      </w:pPr>
      <w:r>
        <w:rPr>
          <w:rFonts w:ascii="Helvetica" w:cs="Helvetica" w:eastAsia="Helvetica" w:hAnsi="Helvetica"/>
          <w:i/>
          <w:iCs/>
          <w:color w:val="744D1F"/>
          <w:sz w:val="22"/>
          <w:szCs w:val="22"/>
        </w:rPr>
        <w:t xml:space="preserve">Accelerating technology, public presence, and market capture during the private markets democratization wave</w:t>
      </w:r>
    </w:p>
    <w:p>
      <w:pPr>
        <w:spacing w:before="240" w:after="100"/>
      </w:pPr>
      <w:r>
        <w:rPr>
          <w:rFonts w:ascii="Arimo" w:cs="Arimo" w:eastAsia="Arimo" w:hAnsi="Arimo"/>
          <w:b/>
          <w:bCs/>
          <w:color w:val="67441A"/>
          <w:sz w:val="24"/>
          <w:szCs w:val="24"/>
        </w:rPr>
        <w:t xml:space="preserve">Why We’re Raising Now</w:t>
      </w:r>
    </w:p>
    <w:p>
      <w:pPr>
        <w:spacing w:before="60" w:after="60" w:line="276"/>
        <w:jc w:val="left"/>
      </w:pPr>
      <w:r>
        <w:rPr>
          <w:rFonts w:ascii="Helvetica" w:cs="Helvetica" w:eastAsia="Helvetica" w:hAnsi="Helvetica"/>
          <w:color w:val="67441A"/>
          <w:sz w:val="21"/>
          <w:szCs w:val="21"/>
        </w:rPr>
        <w:t xml:space="preserve">Sengo has proven product-market fit with a bootstrapped MVP: 600+ members, 10,000+ email subscribers, $178K+ revenue within 365 days of launch, a 167X multiplier on grants deployed, and a 46.5% email open rate (4X industry average)—all achieved organically. The private markets are undergoing a historic opening (see The Private Markets Revolution), and the window to build category-defining infrastructure is narrow.</w:t>
      </w:r>
    </w:p>
    <w:p>
      <w:pPr>
        <w:spacing w:before="60" w:after="60" w:line="276"/>
        <w:jc w:val="left"/>
      </w:pPr>
      <w:r>
        <w:rPr>
          <w:rFonts w:ascii="Helvetica" w:cs="Helvetica" w:eastAsia="Helvetica" w:hAnsi="Helvetica"/>
          <w:color w:val="67441A"/>
          <w:sz w:val="21"/>
          <w:szCs w:val="21"/>
        </w:rPr>
        <w:t xml:space="preserve">This $500K raise will fund an aggressive scaling strategy: rebuilding our technology stack, investing heavily in public presence and marketing, building a sales team, and establishing regulatory compliance—positioning Sengo as the trusted bridge between emerging founders and the growing class of everyday investors.</w:t>
      </w:r>
    </w:p>
    <w:p>
      <w:pPr>
        <w:spacing w:before="80" w:after="0"/>
      </w:pPr>
    </w:p>
    <w:p>
      <w:pPr>
        <w:spacing w:before="240" w:after="100"/>
      </w:pPr>
      <w:r>
        <w:rPr>
          <w:rFonts w:ascii="Arimo" w:cs="Arimo" w:eastAsia="Arimo" w:hAnsi="Arimo"/>
          <w:b/>
          <w:bCs/>
          <w:color w:val="67441A"/>
          <w:sz w:val="24"/>
          <w:szCs w:val="24"/>
        </w:rPr>
        <w:t xml:space="preserve">Financing Structure: Blended Capital Strategy</w:t>
      </w:r>
    </w:p>
    <w:p>
      <w:pPr>
        <w:spacing w:before="60" w:after="60" w:line="276"/>
        <w:jc w:val="left"/>
      </w:pPr>
      <w:r>
        <w:rPr>
          <w:rFonts w:ascii="Helvetica" w:cs="Helvetica" w:eastAsia="Helvetica" w:hAnsi="Helvetica"/>
          <w:color w:val="67441A"/>
          <w:sz w:val="21"/>
          <w:szCs w:val="21"/>
        </w:rPr>
        <w:t xml:space="preserve">Sengo is raising $500K through a blended capital strategy that layers multiple instruments to balance dilution, cash flow, and speed. Rather than relying on a single vehicle, we combine equity and non-dilutive capital to maximize founder retention while giving investors meaningful upside.</w:t>
      </w:r>
    </w:p>
    <w:p>
      <w:pPr>
        <w:spacing w:before="60" w:after="0"/>
      </w:pPr>
    </w:p>
    <w:p>
      <w:pPr>
        <w:spacing w:before="180" w:after="80"/>
      </w:pPr>
      <w:r>
        <w:rPr>
          <w:rFonts w:ascii="Arimo" w:cs="Arimo" w:eastAsia="Arimo" w:hAnsi="Arimo"/>
          <w:b/>
          <w:bCs/>
          <w:color w:val="744D1F"/>
          <w:sz w:val="22"/>
          <w:szCs w:val="22"/>
        </w:rPr>
        <w:t xml:space="preserve">Sample Blended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D57028" w:sz="2"/>
              <w:right w:val="none" w:color="FFFFFF" w:sz="0"/>
            </w:tcBorders>
            <w:shd w:fill="1B3533" w:val="clear"/>
            <w:tcMar>
              <w:top w:type="dxa" w:w="80"/>
              <w:left w:type="dxa" w:w="120"/>
              <w:bottom w:type="dxa" w:w="80"/>
              <w:right w:type="dxa" w:w="120"/>
            </w:tcMar>
          </w:tcPr>
          <w:p>
            <w:r>
              <w:rPr>
                <w:rFonts w:ascii="Helvetica" w:cs="Helvetica" w:eastAsia="Helvetica" w:hAnsi="Helvetica"/>
                <w:b/>
                <w:bCs/>
                <w:color w:val="FFFFFF"/>
                <w:sz w:val="20"/>
                <w:szCs w:val="20"/>
              </w:rPr>
              <w:t xml:space="preserve">Instrument</w:t>
            </w:r>
          </w:p>
        </w:tc>
        <w:tc>
          <w:tcPr>
            <w:tcW w:type="dxa" w:w="4680"/>
            <w:tcBorders>
              <w:top w:val="none" w:color="FFFFFF" w:sz="0"/>
              <w:left w:val="none" w:color="FFFFFF" w:sz="0"/>
              <w:bottom w:val="single" w:color="D57028" w:sz="2"/>
              <w:right w:val="none" w:color="FFFFFF" w:sz="0"/>
            </w:tcBorders>
            <w:shd w:fill="1B3533" w:val="clear"/>
            <w:tcMar>
              <w:top w:type="dxa" w:w="80"/>
              <w:left w:type="dxa" w:w="120"/>
              <w:bottom w:type="dxa" w:w="80"/>
              <w:right w:type="dxa" w:w="120"/>
            </w:tcMar>
          </w:tcPr>
          <w:p>
            <w:r>
              <w:rPr>
                <w:rFonts w:ascii="Helvetica" w:cs="Helvetica" w:eastAsia="Helvetica" w:hAnsi="Helvetica"/>
                <w:b/>
                <w:bCs/>
                <w:color w:val="FFFFFF"/>
                <w:sz w:val="20"/>
                <w:szCs w:val="20"/>
              </w:rPr>
              <w:t xml:space="preserve">Terms</w:t>
            </w:r>
          </w:p>
        </w:tc>
      </w:tr>
      <w:tr>
        <w:tc>
          <w:tcPr>
            <w:tcW w:type="dxa" w:w="468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SAFE (Post-Money)</w:t>
            </w:r>
          </w:p>
        </w:tc>
        <w:tc>
          <w:tcPr>
            <w:tcW w:type="dxa" w:w="468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$250K at $4–5M cap</w:t>
            </w:r>
          </w:p>
        </w:tc>
      </w:tr>
      <w:tr>
        <w:tc>
          <w:tcPr>
            <w:tcW w:type="dxa" w:w="468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Revenue-Based Financing (RBF)</w:t>
            </w:r>
          </w:p>
        </w:tc>
        <w:tc>
          <w:tcPr>
            <w:tcW w:type="dxa" w:w="468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$150K at 5% revenue share, 1.5x cap</w:t>
            </w:r>
          </w:p>
        </w:tc>
      </w:tr>
      <w:tr>
        <w:tc>
          <w:tcPr>
            <w:tcW w:type="dxa" w:w="468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CDFI / Non-Dilutive Loan</w:t>
            </w:r>
          </w:p>
        </w:tc>
        <w:tc>
          <w:tcPr>
            <w:tcW w:type="dxa" w:w="468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$100K at 2–6% interest, 5-year term</w:t>
            </w:r>
          </w:p>
        </w:tc>
      </w:tr>
      <w:tr>
        <w:tc>
          <w:tcPr>
            <w:tcW w:type="dxa" w:w="468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r>
              <w:rPr>
                <w:rFonts w:ascii="Helvetica" w:cs="Helvetica" w:eastAsia="Helvetica" w:hAnsi="Helvetica"/>
                <w:b/>
                <w:bCs/>
                <w:color w:val="67441A"/>
                <w:sz w:val="19"/>
                <w:szCs w:val="19"/>
              </w:rPr>
              <w:t xml:space="preserve">Total Raise</w:t>
            </w:r>
          </w:p>
        </w:tc>
        <w:tc>
          <w:tcPr>
            <w:tcW w:type="dxa" w:w="468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r>
              <w:rPr>
                <w:rFonts w:ascii="Helvetica" w:cs="Helvetica" w:eastAsia="Helvetica" w:hAnsi="Helvetica"/>
                <w:b/>
                <w:bCs/>
                <w:color w:val="D57028"/>
                <w:sz w:val="19"/>
                <w:szCs w:val="19"/>
              </w:rPr>
              <w:t xml:space="preserve">$500K</w:t>
            </w:r>
          </w:p>
        </w:tc>
      </w:tr>
      <w:tr>
        <w:tc>
          <w:tcPr>
            <w:tcW w:type="dxa" w:w="468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Founder Dilution at Cap</w:t>
            </w:r>
          </w:p>
        </w:tc>
        <w:tc>
          <w:tcPr>
            <w:tcW w:type="dxa" w:w="468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5–6.3%</w:t>
            </w:r>
          </w:p>
        </w:tc>
      </w:tr>
      <w:tr>
        <w:tc>
          <w:tcPr>
            <w:tcW w:type="dxa" w:w="468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RBF Max Repayment</w:t>
            </w:r>
          </w:p>
        </w:tc>
        <w:tc>
          <w:tcPr>
            <w:tcW w:type="dxa" w:w="468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$225K from operating cash flow</w:t>
            </w:r>
          </w:p>
        </w:tc>
      </w:tr>
      <w:tr>
        <w:tc>
          <w:tcPr>
            <w:tcW w:type="dxa" w:w="468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CDFI Annual Payment</w:t>
            </w:r>
          </w:p>
        </w:tc>
        <w:tc>
          <w:tcPr>
            <w:tcW w:type="dxa" w:w="4680"/>
            <w:tcBorders>
              <w:top w:val="single" w:color="D4C5B0" w:sz="1"/>
              <w:left w:val="single" w:color="D4C5B0" w:sz="1"/>
              <w:bottom w:val="single" w:color="D4C5B0" w:sz="1"/>
              <w:right w:val="single" w:color="D4C5B0" w:sz="1"/>
            </w:tcBorders>
            <w:shd w:fill="F3EDE7"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~$24K/year for 5 years</w:t>
            </w:r>
          </w:p>
        </w:tc>
      </w:tr>
      <w:tr>
        <w:tc>
          <w:tcPr>
            <w:tcW w:type="dxa" w:w="468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Annual Debt Service (est.)</w:t>
            </w:r>
          </w:p>
        </w:tc>
        <w:tc>
          <w:tcPr>
            <w:tcW w:type="dxa" w:w="4680"/>
            <w:tcBorders>
              <w:top w:val="single" w:color="D4C5B0" w:sz="1"/>
              <w:left w:val="single" w:color="D4C5B0" w:sz="1"/>
              <w:bottom w:val="single" w:color="D4C5B0" w:sz="1"/>
              <w:right w:val="single" w:color="D4C5B0" w:sz="1"/>
            </w:tcBorders>
            <w:shd w:fill="FFFFFF" w:val="clear"/>
            <w:tcMar>
              <w:top w:type="dxa" w:w="60"/>
              <w:left w:type="dxa" w:w="120"/>
              <w:bottom w:type="dxa" w:w="60"/>
              <w:right w:type="dxa" w:w="120"/>
            </w:tcMar>
          </w:tcPr>
          <w:p>
            <w:r>
              <w:rPr>
                <w:rFonts w:ascii="Helvetica" w:cs="Helvetica" w:eastAsia="Helvetica" w:hAnsi="Helvetica"/>
                <w:b w:val="false"/>
                <w:bCs w:val="false"/>
                <w:color w:val="67441A"/>
                <w:sz w:val="19"/>
                <w:szCs w:val="19"/>
              </w:rPr>
              <w:t xml:space="preserve">~$40K (manageable at $328,346+ revenue)</w:t>
            </w:r>
          </w:p>
        </w:tc>
      </w:tr>
    </w:tbl>
    <w:p>
      <w:pPr>
        <w:spacing w:before="100" w:after="0"/>
      </w:pPr>
    </w:p>
    <w:p>
      <w:pPr>
        <w:spacing w:before="60" w:after="60" w:line="276"/>
        <w:jc w:val="left"/>
      </w:pPr>
      <w:r>
        <w:rPr>
          <w:rFonts w:ascii="Helvetica" w:cs="Helvetica" w:eastAsia="Helvetica" w:hAnsi="Helvetica"/>
          <w:color w:val="67441A"/>
          <w:sz w:val="21"/>
          <w:szCs w:val="21"/>
        </w:rPr>
        <w:t xml:space="preserve">The exact blend is flexible and can be adjusted based on investor preferences, available non-dilutive capital, and timing. The instruments below can be combined in any proportion totaling $500K:</w:t>
      </w:r>
    </w:p>
    <w:p>
      <w:pPr>
        <w:spacing w:before="60" w:after="0"/>
      </w:pPr>
    </w:p>
    <w:p>
      <w:pPr>
        <w:spacing w:before="180" w:after="80"/>
      </w:pPr>
      <w:r>
        <w:rPr>
          <w:rFonts w:ascii="Arimo" w:cs="Arimo" w:eastAsia="Arimo" w:hAnsi="Arimo"/>
          <w:b/>
          <w:bCs/>
          <w:color w:val="744D1F"/>
          <w:sz w:val="22"/>
          <w:szCs w:val="22"/>
        </w:rPr>
        <w:t xml:space="preserve">SAFE (Simple Agreement for Future Equity)</w:t>
      </w:r>
    </w:p>
    <w:p>
      <w:pPr>
        <w:spacing w:before="60" w:after="60" w:line="276"/>
        <w:jc w:val="left"/>
      </w:pPr>
      <w:r>
        <w:rPr>
          <w:rFonts w:ascii="Helvetica" w:cs="Helvetica" w:eastAsia="Helvetica" w:hAnsi="Helvetica"/>
          <w:color w:val="67441A"/>
          <w:sz w:val="21"/>
          <w:szCs w:val="21"/>
        </w:rPr>
        <w:t xml:space="preserve">A post-money SAFE at a $4–5M valuation cap with no discount. Standard YC SAFE terms, minimal legal costs ($2–5K), and capital available immediately. The SAFE component provides investors with equity upside tied to Sengo’s growth—converting at a future liquidity event. At a $5M cap, each $250K of SAFE represents ~5% ownership.</w:t>
      </w:r>
    </w:p>
    <w:p>
      <w:pPr>
        <w:spacing w:before="40" w:after="0"/>
      </w:pPr>
    </w:p>
    <w:p>
      <w:pPr>
        <w:spacing w:before="180" w:after="80"/>
      </w:pPr>
      <w:r>
        <w:rPr>
          <w:rFonts w:ascii="Arimo" w:cs="Arimo" w:eastAsia="Arimo" w:hAnsi="Arimo"/>
          <w:b/>
          <w:bCs/>
          <w:color w:val="744D1F"/>
          <w:sz w:val="22"/>
          <w:szCs w:val="22"/>
        </w:rPr>
        <w:t xml:space="preserve">Revenue-Based Financing (RBF)</w:t>
      </w:r>
    </w:p>
    <w:p>
      <w:pPr>
        <w:spacing w:before="60" w:after="60" w:line="276"/>
        <w:jc w:val="left"/>
      </w:pPr>
      <w:r>
        <w:rPr>
          <w:rFonts w:ascii="Helvetica" w:cs="Helvetica" w:eastAsia="Helvetica" w:hAnsi="Helvetica"/>
          <w:color w:val="67441A"/>
          <w:sz w:val="21"/>
          <w:szCs w:val="21"/>
        </w:rPr>
        <w:t xml:space="preserve">A non-dilutive instrument where Sengo repays a fixed multiple (1.5x) of the principal from a percentage of monthly revenue (5–8%). RBF aligns repayment with business performance—payments scale up as revenue grows and scale down during slower months. The repayment cap ensures a clear, bounded return for funders while preserving founder equity. RBF is ideal for investors who want predictable returns alongside a founder committed to capital efficiency.</w:t>
      </w:r>
    </w:p>
    <w:p>
      <w:pPr>
        <w:spacing w:before="40" w:after="0"/>
      </w:pPr>
    </w:p>
    <w:p>
      <w:pPr>
        <w:spacing w:before="180" w:after="80"/>
      </w:pPr>
      <w:r>
        <w:rPr>
          <w:rFonts w:ascii="Arimo" w:cs="Arimo" w:eastAsia="Arimo" w:hAnsi="Arimo"/>
          <w:b/>
          <w:bCs/>
          <w:color w:val="744D1F"/>
          <w:sz w:val="22"/>
          <w:szCs w:val="22"/>
        </w:rPr>
        <w:t xml:space="preserve">CDFI / Non-Dilutive Capital</w:t>
      </w:r>
    </w:p>
    <w:p>
      <w:pPr>
        <w:spacing w:before="60" w:after="60" w:line="276"/>
        <w:jc w:val="left"/>
      </w:pPr>
      <w:r>
        <w:rPr>
          <w:rFonts w:ascii="Helvetica" w:cs="Helvetica" w:eastAsia="Helvetica" w:hAnsi="Helvetica"/>
          <w:color w:val="67441A"/>
          <w:sz w:val="21"/>
          <w:szCs w:val="21"/>
        </w:rPr>
        <w:t xml:space="preserve">Community Development Financial Institutions (CDFIs) and mission-aligned lenders provide low-interest loans (2–6%) with flexible repayment terms (3–7 years). CDFIs are purpose-built to fund businesses expanding capital access in their communities—directly aligned with Sengo’s mission. This capital carries zero dilution, minimal cash flow impact, and may qualify for favorable tax treatment. Non-dilutive grants from impact-focused organizations can also supplement this layer.</w:t>
      </w:r>
    </w:p>
    <w:p>
      <w:pPr>
        <w:spacing w:before="120" w:after="0"/>
      </w:pPr>
    </w:p>
    <w:p>
      <w:pPr>
        <w:spacing w:before="240" w:after="100"/>
      </w:pPr>
      <w:r>
        <w:rPr>
          <w:rFonts w:ascii="Arimo" w:cs="Arimo" w:eastAsia="Arimo" w:hAnsi="Arimo"/>
          <w:b/>
          <w:bCs/>
          <w:color w:val="67441A"/>
          <w:sz w:val="24"/>
          <w:szCs w:val="24"/>
        </w:rPr>
        <w:t xml:space="preserve">Use of Funds</w:t>
      </w:r>
    </w:p>
    <w:p>
      <w:pPr>
        <w:spacing w:before="60" w:after="60" w:line="276"/>
        <w:jc w:val="left"/>
      </w:pPr>
      <w:r>
        <w:rPr>
          <w:rFonts w:ascii="Helvetica" w:cs="Helvetica" w:eastAsia="Helvetica" w:hAnsi="Helvetica"/>
          <w:color w:val="67441A"/>
          <w:sz w:val="21"/>
          <w:szCs w:val="21"/>
        </w:rPr>
        <w:t xml:space="preserve">The $500K will be deployed across four primary categories to scale Sengo’s technology, market presence, team, and compliance infrastructure: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none" w:color="FFFFFF" w:sz="0"/>
              <w:left w:val="none" w:color="FFFFFF" w:sz="0"/>
              <w:bottom w:val="single" w:color="D57028" w:sz="2"/>
              <w:right w:val="none" w:color="FFFFFF" w:sz="0"/>
            </w:tcBorders>
            <w:shd w:fill="1B3533" w:val="clear"/>
            <w:tcMar>
              <w:top w:type="dxa" w:w="80"/>
              <w:left w:type="dxa" w:w="120"/>
              <w:bottom w:type="dxa" w:w="80"/>
              <w:right w:type="dxa" w:w="120"/>
            </w:tcMar>
          </w:tcPr>
          <w:p>
            <w:pPr>
              <w:jc w:val="left"/>
            </w:pPr>
            <w:r>
              <w:rPr>
                <w:rFonts w:ascii="Helvetica" w:cs="Helvetica" w:eastAsia="Helvetica" w:hAnsi="Helvetica"/>
                <w:b/>
                <w:bCs/>
                <w:color w:val="FFFFFF"/>
                <w:sz w:val="20"/>
                <w:szCs w:val="20"/>
              </w:rPr>
              <w:t xml:space="preserve">Category</w:t>
            </w:r>
          </w:p>
        </w:tc>
        <w:tc>
          <w:tcPr>
            <w:tcW w:type="dxa" w:w="1200"/>
            <w:tcBorders>
              <w:top w:val="none" w:color="FFFFFF" w:sz="0"/>
              <w:left w:val="none" w:color="FFFFFF" w:sz="0"/>
              <w:bottom w:val="single" w:color="D57028" w:sz="2"/>
              <w:right w:val="none" w:color="FFFFFF" w:sz="0"/>
            </w:tcBorders>
            <w:shd w:fill="1B3533" w:val="clear"/>
            <w:tcMar>
              <w:top w:type="dxa" w:w="80"/>
              <w:left w:type="dxa" w:w="120"/>
              <w:bottom w:type="dxa" w:w="80"/>
              <w:right w:type="dxa" w:w="120"/>
            </w:tcMar>
          </w:tcPr>
          <w:p>
            <w:pPr>
              <w:jc w:val="center"/>
            </w:pPr>
            <w:r>
              <w:rPr>
                <w:rFonts w:ascii="Helvetica" w:cs="Helvetica" w:eastAsia="Helvetica" w:hAnsi="Helvetica"/>
                <w:b/>
                <w:bCs/>
                <w:color w:val="FFFFFF"/>
                <w:sz w:val="20"/>
                <w:szCs w:val="20"/>
              </w:rPr>
              <w:t xml:space="preserve">Allocation</w:t>
            </w:r>
          </w:p>
        </w:tc>
        <w:tc>
          <w:tcPr>
            <w:tcW w:type="dxa" w:w="5360"/>
            <w:tcBorders>
              <w:top w:val="none" w:color="FFFFFF" w:sz="0"/>
              <w:left w:val="none" w:color="FFFFFF" w:sz="0"/>
              <w:bottom w:val="single" w:color="D57028" w:sz="2"/>
              <w:right w:val="none" w:color="FFFFFF" w:sz="0"/>
            </w:tcBorders>
            <w:shd w:fill="1B3533" w:val="clear"/>
            <w:tcMar>
              <w:top w:type="dxa" w:w="80"/>
              <w:left w:type="dxa" w:w="120"/>
              <w:bottom w:type="dxa" w:w="80"/>
              <w:right w:type="dxa" w:w="120"/>
            </w:tcMar>
          </w:tcPr>
          <w:p>
            <w:pPr>
              <w:jc w:val="left"/>
            </w:pPr>
            <w:r>
              <w:rPr>
                <w:rFonts w:ascii="Helvetica" w:cs="Helvetica" w:eastAsia="Helvetica" w:hAnsi="Helvetica"/>
                <w:b/>
                <w:bCs/>
                <w:color w:val="FFFFFF"/>
                <w:sz w:val="20"/>
                <w:szCs w:val="20"/>
              </w:rPr>
              <w:t xml:space="preserve">What It Funds</w:t>
            </w:r>
          </w:p>
        </w:tc>
      </w:tr>
      <w:tr>
        <w:tc>
          <w:tcPr>
            <w:tcW w:type="dxa" w:w="280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r>
              <w:rPr>
                <w:rFonts w:ascii="Helvetica" w:cs="Helvetica" w:eastAsia="Helvetica" w:hAnsi="Helvetica"/>
                <w:b/>
                <w:bCs/>
                <w:color w:val="67441A"/>
                <w:sz w:val="19"/>
                <w:szCs w:val="19"/>
              </w:rPr>
              <w:t xml:space="preserve">AI &amp; Platform Technology</w:t>
            </w:r>
          </w:p>
        </w:tc>
        <w:tc>
          <w:tcPr>
            <w:tcW w:type="dxa" w:w="120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pPr>
              <w:jc w:val="center"/>
            </w:pPr>
            <w:r>
              <w:rPr>
                <w:rFonts w:ascii="Helvetica" w:cs="Helvetica" w:eastAsia="Helvetica" w:hAnsi="Helvetica"/>
                <w:b/>
                <w:bCs/>
                <w:color w:val="D57028"/>
                <w:sz w:val="18"/>
                <w:szCs w:val="18"/>
              </w:rPr>
              <w:t xml:space="preserve">30%  |  $150K</w:t>
            </w:r>
          </w:p>
        </w:tc>
        <w:tc>
          <w:tcPr>
            <w:tcW w:type="dxa" w:w="536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pPr>
              <w:spacing w:line="260"/>
            </w:pPr>
            <w:r>
              <w:rPr>
                <w:rFonts w:ascii="Helvetica" w:cs="Helvetica" w:eastAsia="Helvetica" w:hAnsi="Helvetica"/>
                <w:color w:val="67441A"/>
                <w:sz w:val="18"/>
                <w:szCs w:val="18"/>
              </w:rPr>
              <w:t xml:space="preserve">Custom platform build off Kajabi: mobile-first UX, AI-powered education modules, due diligence tool, fundraise readiness calculator, dealflow engine, international capital pathways navigator, and KingsCrowd API integration for private market data</w:t>
            </w:r>
          </w:p>
        </w:tc>
      </w:tr>
      <w:tr>
        <w:tc>
          <w:tcPr>
            <w:tcW w:type="dxa" w:w="280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r>
              <w:rPr>
                <w:rFonts w:ascii="Helvetica" w:cs="Helvetica" w:eastAsia="Helvetica" w:hAnsi="Helvetica"/>
                <w:b/>
                <w:bCs/>
                <w:color w:val="67441A"/>
                <w:sz w:val="19"/>
                <w:szCs w:val="19"/>
              </w:rPr>
              <w:t xml:space="preserve">Marketing &amp; Public Presence</w:t>
            </w:r>
          </w:p>
        </w:tc>
        <w:tc>
          <w:tcPr>
            <w:tcW w:type="dxa" w:w="120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pPr>
              <w:jc w:val="center"/>
            </w:pPr>
            <w:r>
              <w:rPr>
                <w:rFonts w:ascii="Helvetica" w:cs="Helvetica" w:eastAsia="Helvetica" w:hAnsi="Helvetica"/>
                <w:b/>
                <w:bCs/>
                <w:color w:val="D57028"/>
                <w:sz w:val="18"/>
                <w:szCs w:val="18"/>
              </w:rPr>
              <w:t xml:space="preserve">25%  |  $125K</w:t>
            </w:r>
          </w:p>
        </w:tc>
        <w:tc>
          <w:tcPr>
            <w:tcW w:type="dxa" w:w="536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pPr>
              <w:spacing w:line="260"/>
            </w:pPr>
            <w:r>
              <w:rPr>
                <w:rFonts w:ascii="Helvetica" w:cs="Helvetica" w:eastAsia="Helvetica" w:hAnsi="Helvetica"/>
                <w:color w:val="67441A"/>
                <w:sz w:val="18"/>
                <w:szCs w:val="18"/>
              </w:rPr>
              <w:t xml:space="preserve">Brand campaigns, social media strategy, content production, PR, paid acquisition, and partnerships to build Sengo’s public profile and reach 25,000+ email subscribers</w:t>
            </w:r>
          </w:p>
        </w:tc>
      </w:tr>
      <w:tr>
        <w:tc>
          <w:tcPr>
            <w:tcW w:type="dxa" w:w="280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r>
              <w:rPr>
                <w:rFonts w:ascii="Helvetica" w:cs="Helvetica" w:eastAsia="Helvetica" w:hAnsi="Helvetica"/>
                <w:b/>
                <w:bCs/>
                <w:color w:val="67441A"/>
                <w:sz w:val="19"/>
                <w:szCs w:val="19"/>
              </w:rPr>
              <w:t xml:space="preserve">Personnel</w:t>
            </w:r>
          </w:p>
        </w:tc>
        <w:tc>
          <w:tcPr>
            <w:tcW w:type="dxa" w:w="120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pPr>
              <w:jc w:val="center"/>
            </w:pPr>
            <w:r>
              <w:rPr>
                <w:rFonts w:ascii="Helvetica" w:cs="Helvetica" w:eastAsia="Helvetica" w:hAnsi="Helvetica"/>
                <w:b/>
                <w:bCs/>
                <w:color w:val="D57028"/>
                <w:sz w:val="18"/>
                <w:szCs w:val="18"/>
              </w:rPr>
              <w:t xml:space="preserve">20%  |  $100K</w:t>
            </w:r>
          </w:p>
        </w:tc>
        <w:tc>
          <w:tcPr>
            <w:tcW w:type="dxa" w:w="536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pPr>
              <w:spacing w:line="260"/>
            </w:pPr>
            <w:r>
              <w:rPr>
                <w:rFonts w:ascii="Helvetica" w:cs="Helvetica" w:eastAsia="Helvetica" w:hAnsi="Helvetica"/>
                <w:color w:val="67441A"/>
                <w:sz w:val="18"/>
                <w:szCs w:val="18"/>
              </w:rPr>
              <w:t xml:space="preserve">Engineering lead, sales/BD hire, and contract support to build the platform and close B2B partnerships, coaching programs, and enterprise contracts</w:t>
            </w:r>
          </w:p>
        </w:tc>
      </w:tr>
      <w:tr>
        <w:tc>
          <w:tcPr>
            <w:tcW w:type="dxa" w:w="280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r>
              <w:rPr>
                <w:rFonts w:ascii="Helvetica" w:cs="Helvetica" w:eastAsia="Helvetica" w:hAnsi="Helvetica"/>
                <w:b/>
                <w:bCs/>
                <w:color w:val="67441A"/>
                <w:sz w:val="19"/>
                <w:szCs w:val="19"/>
              </w:rPr>
              <w:t xml:space="preserve">Compliance &amp; Legal</w:t>
            </w:r>
          </w:p>
        </w:tc>
        <w:tc>
          <w:tcPr>
            <w:tcW w:type="dxa" w:w="120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pPr>
              <w:jc w:val="center"/>
            </w:pPr>
            <w:r>
              <w:rPr>
                <w:rFonts w:ascii="Helvetica" w:cs="Helvetica" w:eastAsia="Helvetica" w:hAnsi="Helvetica"/>
                <w:b/>
                <w:bCs/>
                <w:color w:val="D57028"/>
                <w:sz w:val="18"/>
                <w:szCs w:val="18"/>
              </w:rPr>
              <w:t xml:space="preserve">10%  |  $50K</w:t>
            </w:r>
          </w:p>
        </w:tc>
        <w:tc>
          <w:tcPr>
            <w:tcW w:type="dxa" w:w="536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pPr>
              <w:spacing w:line="260"/>
            </w:pPr>
            <w:r>
              <w:rPr>
                <w:rFonts w:ascii="Helvetica" w:cs="Helvetica" w:eastAsia="Helvetica" w:hAnsi="Helvetica"/>
                <w:color w:val="67441A"/>
                <w:sz w:val="18"/>
                <w:szCs w:val="18"/>
              </w:rPr>
              <w:t xml:space="preserve">Regulatory infrastructure for Reg CF/Reg D advisory, compliance tooling, legal counsel, and broker-dealer relationship management</w:t>
            </w:r>
          </w:p>
        </w:tc>
      </w:tr>
      <w:tr>
        <w:tc>
          <w:tcPr>
            <w:tcW w:type="dxa" w:w="280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r>
              <w:rPr>
                <w:rFonts w:ascii="Helvetica" w:cs="Helvetica" w:eastAsia="Helvetica" w:hAnsi="Helvetica"/>
                <w:b/>
                <w:bCs/>
                <w:color w:val="67441A"/>
                <w:sz w:val="19"/>
                <w:szCs w:val="19"/>
              </w:rPr>
              <w:t xml:space="preserve">Events &amp; Community</w:t>
            </w:r>
          </w:p>
        </w:tc>
        <w:tc>
          <w:tcPr>
            <w:tcW w:type="dxa" w:w="120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pPr>
              <w:jc w:val="center"/>
            </w:pPr>
            <w:r>
              <w:rPr>
                <w:rFonts w:ascii="Helvetica" w:cs="Helvetica" w:eastAsia="Helvetica" w:hAnsi="Helvetica"/>
                <w:b/>
                <w:bCs/>
                <w:color w:val="D57028"/>
                <w:sz w:val="18"/>
                <w:szCs w:val="18"/>
              </w:rPr>
              <w:t xml:space="preserve">10%  |  $50K</w:t>
            </w:r>
          </w:p>
        </w:tc>
        <w:tc>
          <w:tcPr>
            <w:tcW w:type="dxa" w:w="536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pPr>
              <w:spacing w:line="260"/>
            </w:pPr>
            <w:r>
              <w:rPr>
                <w:rFonts w:ascii="Helvetica" w:cs="Helvetica" w:eastAsia="Helvetica" w:hAnsi="Helvetica"/>
                <w:color w:val="67441A"/>
                <w:sz w:val="18"/>
                <w:szCs w:val="18"/>
              </w:rPr>
              <w:t xml:space="preserve">Flagship events (Fashion x Futures), regional activations, and community programming that drives organic growth</w:t>
            </w:r>
          </w:p>
        </w:tc>
      </w:tr>
      <w:tr>
        <w:tc>
          <w:tcPr>
            <w:tcW w:type="dxa" w:w="280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r>
              <w:rPr>
                <w:rFonts w:ascii="Helvetica" w:cs="Helvetica" w:eastAsia="Helvetica" w:hAnsi="Helvetica"/>
                <w:b/>
                <w:bCs/>
                <w:color w:val="67441A"/>
                <w:sz w:val="19"/>
                <w:szCs w:val="19"/>
              </w:rPr>
              <w:t xml:space="preserve">Operations &amp; Overhead</w:t>
            </w:r>
          </w:p>
        </w:tc>
        <w:tc>
          <w:tcPr>
            <w:tcW w:type="dxa" w:w="120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pPr>
              <w:jc w:val="center"/>
            </w:pPr>
            <w:r>
              <w:rPr>
                <w:rFonts w:ascii="Helvetica" w:cs="Helvetica" w:eastAsia="Helvetica" w:hAnsi="Helvetica"/>
                <w:b/>
                <w:bCs/>
                <w:color w:val="D57028"/>
                <w:sz w:val="18"/>
                <w:szCs w:val="18"/>
              </w:rPr>
              <w:t xml:space="preserve">5%  |  $25K</w:t>
            </w:r>
          </w:p>
        </w:tc>
        <w:tc>
          <w:tcPr>
            <w:tcW w:type="dxa" w:w="536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pPr>
              <w:spacing w:line="260"/>
            </w:pPr>
            <w:r>
              <w:rPr>
                <w:rFonts w:ascii="Helvetica" w:cs="Helvetica" w:eastAsia="Helvetica" w:hAnsi="Helvetica"/>
                <w:color w:val="67441A"/>
                <w:sz w:val="18"/>
                <w:szCs w:val="18"/>
              </w:rPr>
              <w:t xml:space="preserve">Back-office operations, accounting, insurance, and working capital for 18-month runway</w:t>
            </w:r>
          </w:p>
        </w:tc>
      </w:tr>
    </w:tbl>
    <w:p>
      <w:pPr>
        <w:spacing w:before="160" w:after="0"/>
      </w:pPr>
    </w:p>
    <w:p>
      <w:pPr>
        <w:spacing w:before="240" w:after="100"/>
      </w:pPr>
      <w:r>
        <w:rPr>
          <w:rFonts w:ascii="Arimo" w:cs="Arimo" w:eastAsia="Arimo" w:hAnsi="Arimo"/>
          <w:b/>
          <w:bCs/>
          <w:color w:val="67441A"/>
          <w:sz w:val="24"/>
          <w:szCs w:val="24"/>
        </w:rPr>
        <w:t xml:space="preserve">What We’re Building</w:t>
      </w:r>
    </w:p>
    <w:p>
      <w:pPr>
        <w:spacing w:before="60" w:after="60" w:line="276"/>
        <w:jc w:val="left"/>
      </w:pPr>
      <w:r>
        <w:rPr>
          <w:rFonts w:ascii="Helvetica" w:cs="Helvetica" w:eastAsia="Helvetica" w:hAnsi="Helvetica"/>
          <w:color w:val="67441A"/>
          <w:sz w:val="21"/>
          <w:szCs w:val="21"/>
        </w:rPr>
        <w:t xml:space="preserve">The centerpiece of this raise is migrating Sengo off Kajabi onto a custom-built, AI-enhanced platform optimized for mobile. The current Kajabi-hosted experience limits UX customization, AI integration, and mobile performance—critical gaps as our community grows. The new platform retains Sengo’s four core pillars while adding AI-powered tools and dramatically improving the user experience:</w:t>
      </w:r>
    </w:p>
    <w:p>
      <w:pPr>
        <w:spacing w:before="40" w:after="0"/>
      </w:pPr>
    </w:p>
    <w:p>
      <w:pPr>
        <w:pStyle w:val="ListParagraph"/>
        <w:numPr>
          <w:ilvl w:val="0"/>
          <w:numId w:val="5"/>
        </w:numPr>
        <w:spacing w:before="40" w:after="40" w:line="276"/>
      </w:pPr>
      <w:r>
        <w:rPr>
          <w:rFonts w:ascii="Helvetica" w:cs="Helvetica" w:eastAsia="Helvetica" w:hAnsi="Helvetica"/>
          <w:color w:val="67441A"/>
          <w:sz w:val="21"/>
          <w:szCs w:val="21"/>
        </w:rPr>
        <w:t xml:space="preserve">Education — AI-curated modular learning paths for founders (capital readiness, pitch prep, fundraising strategy) and funders (private market fundamentals, due diligence, portfolio construction). AI-powered fundraise readiness calculator and international capital pathways navigator. On-demand courses, live workshops, and evergreen resource libraries—all optimized for mobile consumption</w:t>
      </w:r>
    </w:p>
    <w:p>
      <w:pPr>
        <w:pStyle w:val="ListParagraph"/>
        <w:numPr>
          <w:ilvl w:val="0"/>
          <w:numId w:val="5"/>
        </w:numPr>
        <w:spacing w:before="40" w:after="40" w:line="276"/>
      </w:pPr>
      <w:r>
        <w:rPr>
          <w:rFonts w:ascii="Helvetica" w:cs="Helvetica" w:eastAsia="Helvetica" w:hAnsi="Helvetica"/>
          <w:color w:val="67441A"/>
          <w:sz w:val="21"/>
          <w:szCs w:val="21"/>
        </w:rPr>
        <w:t xml:space="preserve">Meetups &amp; Events — Integrated event coordination for both virtual and IRL experiences. RSVP management, attendee networking, and post-event follow-up built into the platform rather than scattered across Eventbrite, Zoom, and email</w:t>
      </w:r>
    </w:p>
    <w:p>
      <w:pPr>
        <w:pStyle w:val="ListParagraph"/>
        <w:numPr>
          <w:ilvl w:val="0"/>
          <w:numId w:val="5"/>
        </w:numPr>
        <w:spacing w:before="40" w:after="40" w:line="276"/>
      </w:pPr>
      <w:r>
        <w:rPr>
          <w:rFonts w:ascii="Helvetica" w:cs="Helvetica" w:eastAsia="Helvetica" w:hAnsi="Helvetica"/>
          <w:color w:val="67441A"/>
          <w:sz w:val="21"/>
          <w:szCs w:val="21"/>
        </w:rPr>
        <w:t xml:space="preserve">Community &amp; Chat — Real-time messaging, resource sharing, and discussion threads that replace the static Kajabi community feed. Mobile push notifications, direct messaging between founders and funders, and group channels organized by interest, industry, and stage</w:t>
      </w:r>
    </w:p>
    <w:p>
      <w:pPr>
        <w:pStyle w:val="ListParagraph"/>
        <w:numPr>
          <w:ilvl w:val="0"/>
          <w:numId w:val="5"/>
        </w:numPr>
        <w:spacing w:before="40" w:after="40" w:line="276"/>
      </w:pPr>
      <w:r>
        <w:rPr>
          <w:rFonts w:ascii="Helvetica" w:cs="Helvetica" w:eastAsia="Helvetica" w:hAnsi="Helvetica"/>
          <w:color w:val="67441A"/>
          <w:sz w:val="21"/>
          <w:szCs w:val="21"/>
        </w:rPr>
        <w:t xml:space="preserve">Dealflow &amp; Data — An AI-powered deal discovery engine connecting prepared founders with aligned investors. AI due diligence tool helps angels evaluate deals faster. Live dealflow feed with real-time updates. Direct links to external fundraising platforms (Republic, WeFunder, StartEngine) and a KingsCrowd API integration that surfaces real-time private market data, ratings, and analytics directly within Sengo—giving our community institutional-grade intelligence without building the data layer from scratch</w:t>
      </w:r>
    </w:p>
    <w:p>
      <w:pPr>
        <w:spacing w:before="60" w:after="0"/>
      </w:pPr>
    </w:p>
    <w:p>
      <w:pPr>
        <w:spacing w:before="60" w:after="60" w:line="276"/>
        <w:jc w:val="left"/>
      </w:pPr>
      <w:r>
        <w:rPr>
          <w:rFonts w:ascii="Helvetica" w:cs="Helvetica" w:eastAsia="Helvetica" w:hAnsi="Helvetica"/>
          <w:color w:val="67441A"/>
          <w:sz w:val="21"/>
          <w:szCs w:val="21"/>
        </w:rPr>
        <w:t xml:space="preserve">Beyond the platform, the raise funds three other critical functions: a dedicated marketing and sales engine to scale Sengo’s public presence (brand campaigns, PR, paid acquisition, B2B outreach); key personnel hires (engineering lead, sales/BD) to execute the build and close partnerships; and compliance infrastructure for regulatory readiness as Sengo moves closer to facilitating investment transactions.</w:t>
      </w:r>
    </w:p>
    <w:p>
      <w:pPr>
        <w:spacing w:before="160" w:after="0"/>
      </w:pPr>
    </w:p>
    <w:p>
      <w:pPr>
        <w:spacing w:before="240" w:after="100"/>
      </w:pPr>
      <w:r>
        <w:rPr>
          <w:rFonts w:ascii="Arimo" w:cs="Arimo" w:eastAsia="Arimo" w:hAnsi="Arimo"/>
          <w:b/>
          <w:bCs/>
          <w:color w:val="67441A"/>
          <w:sz w:val="24"/>
          <w:szCs w:val="24"/>
        </w:rPr>
        <w:t xml:space="preserve">12–18 Month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single" w:color="D57028" w:sz="2"/>
              <w:right w:val="none" w:color="FFFFFF" w:sz="0"/>
            </w:tcBorders>
            <w:shd w:fill="1B3533" w:val="clear"/>
            <w:tcMar>
              <w:top w:type="dxa" w:w="80"/>
              <w:left w:type="dxa" w:w="120"/>
              <w:bottom w:type="dxa" w:w="80"/>
              <w:right w:type="dxa" w:w="120"/>
            </w:tcMar>
          </w:tcPr>
          <w:p>
            <w:r>
              <w:rPr>
                <w:rFonts w:ascii="Helvetica" w:cs="Helvetica" w:eastAsia="Helvetica" w:hAnsi="Helvetica"/>
                <w:b/>
                <w:bCs/>
                <w:color w:val="FFFFFF"/>
                <w:sz w:val="20"/>
                <w:szCs w:val="20"/>
              </w:rPr>
              <w:t xml:space="preserve">Timeline</w:t>
            </w:r>
          </w:p>
        </w:tc>
        <w:tc>
          <w:tcPr>
            <w:tcW w:type="dxa" w:w="7360"/>
            <w:tcBorders>
              <w:top w:val="none" w:color="FFFFFF" w:sz="0"/>
              <w:left w:val="none" w:color="FFFFFF" w:sz="0"/>
              <w:bottom w:val="single" w:color="D57028" w:sz="2"/>
              <w:right w:val="none" w:color="FFFFFF" w:sz="0"/>
            </w:tcBorders>
            <w:shd w:fill="1B3533" w:val="clear"/>
            <w:tcMar>
              <w:top w:type="dxa" w:w="80"/>
              <w:left w:type="dxa" w:w="120"/>
              <w:bottom w:type="dxa" w:w="80"/>
              <w:right w:type="dxa" w:w="120"/>
            </w:tcMar>
          </w:tcPr>
          <w:p>
            <w:r>
              <w:rPr>
                <w:rFonts w:ascii="Helvetica" w:cs="Helvetica" w:eastAsia="Helvetica" w:hAnsi="Helvetica"/>
                <w:b/>
                <w:bCs/>
                <w:color w:val="FFFFFF"/>
                <w:sz w:val="20"/>
                <w:szCs w:val="20"/>
              </w:rPr>
              <w:t xml:space="preserve">Milestone</w:t>
            </w:r>
          </w:p>
        </w:tc>
      </w:tr>
      <w:tr>
        <w:tc>
          <w:tcPr>
            <w:tcW w:type="dxa" w:w="200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r>
              <w:rPr>
                <w:rFonts w:ascii="Helvetica" w:cs="Helvetica" w:eastAsia="Helvetica" w:hAnsi="Helvetica"/>
                <w:b/>
                <w:bCs/>
                <w:color w:val="67441A"/>
                <w:sz w:val="20"/>
                <w:szCs w:val="20"/>
              </w:rPr>
              <w:t xml:space="preserve">Months 1–4</w:t>
            </w:r>
          </w:p>
        </w:tc>
        <w:tc>
          <w:tcPr>
            <w:tcW w:type="dxa" w:w="736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pPr>
              <w:spacing w:line="260"/>
            </w:pPr>
            <w:r>
              <w:rPr>
                <w:rFonts w:ascii="Helvetica" w:cs="Helvetica" w:eastAsia="Helvetica" w:hAnsi="Helvetica"/>
                <w:color w:val="67441A"/>
                <w:sz w:val="19"/>
                <w:szCs w:val="19"/>
              </w:rPr>
              <w:t xml:space="preserve">Ship v2 platform with founder readiness engine and investor onboarding. Launch brand campaign and social media strategy. Hire sales lead. Onboard first 500 new members. Establish compliance framework.</w:t>
            </w:r>
          </w:p>
        </w:tc>
      </w:tr>
      <w:tr>
        <w:tc>
          <w:tcPr>
            <w:tcW w:type="dxa" w:w="200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r>
              <w:rPr>
                <w:rFonts w:ascii="Helvetica" w:cs="Helvetica" w:eastAsia="Helvetica" w:hAnsi="Helvetica"/>
                <w:b/>
                <w:bCs/>
                <w:color w:val="67441A"/>
                <w:sz w:val="20"/>
                <w:szCs w:val="20"/>
              </w:rPr>
              <w:t xml:space="preserve">Months 5–8</w:t>
            </w:r>
          </w:p>
        </w:tc>
        <w:tc>
          <w:tcPr>
            <w:tcW w:type="dxa" w:w="736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pPr>
              <w:spacing w:line="260"/>
            </w:pPr>
            <w:r>
              <w:rPr>
                <w:rFonts w:ascii="Helvetica" w:cs="Helvetica" w:eastAsia="Helvetica" w:hAnsi="Helvetica"/>
                <w:color w:val="67441A"/>
                <w:sz w:val="19"/>
                <w:szCs w:val="19"/>
              </w:rPr>
              <w:t xml:space="preserve">Launch AI matchmaking, due diligence tool, and investor education modules. Ship fundraise readiness calculator and international capital pathways navigator. Ramp paid acquisition and PR. Close 8 coaching clients. Secure 3 institutional partnerships. Reach 2,000 paying members.</w:t>
            </w:r>
          </w:p>
        </w:tc>
      </w:tr>
      <w:tr>
        <w:tc>
          <w:tcPr>
            <w:tcW w:type="dxa" w:w="200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r>
              <w:rPr>
                <w:rFonts w:ascii="Helvetica" w:cs="Helvetica" w:eastAsia="Helvetica" w:hAnsi="Helvetica"/>
                <w:b/>
                <w:bCs/>
                <w:color w:val="67441A"/>
                <w:sz w:val="20"/>
                <w:szCs w:val="20"/>
              </w:rPr>
              <w:t xml:space="preserve">Months 9–12</w:t>
            </w:r>
          </w:p>
        </w:tc>
        <w:tc>
          <w:tcPr>
            <w:tcW w:type="dxa" w:w="7360"/>
            <w:tcBorders>
              <w:top w:val="single" w:color="D4C5B0" w:sz="1"/>
              <w:left w:val="single" w:color="D4C5B0" w:sz="1"/>
              <w:bottom w:val="single" w:color="D4C5B0" w:sz="1"/>
              <w:right w:val="single" w:color="D4C5B0" w:sz="1"/>
            </w:tcBorders>
            <w:shd w:fill="F3EDE7" w:val="clear"/>
            <w:tcMar>
              <w:top w:type="dxa" w:w="80"/>
              <w:left w:type="dxa" w:w="120"/>
              <w:bottom w:type="dxa" w:w="80"/>
              <w:right w:type="dxa" w:w="120"/>
            </w:tcMar>
          </w:tcPr>
          <w:p>
            <w:pPr>
              <w:spacing w:line="260"/>
            </w:pPr>
            <w:r>
              <w:rPr>
                <w:rFonts w:ascii="Helvetica" w:cs="Helvetica" w:eastAsia="Helvetica" w:hAnsi="Helvetica"/>
                <w:color w:val="67441A"/>
                <w:sz w:val="19"/>
                <w:szCs w:val="19"/>
              </w:rPr>
              <w:t xml:space="preserve">Scale to 4,000 members and $600K+ ARR. Launch funding outcome tracking. Expand sales team. Begin curating first community-backed investment opportunities.</w:t>
            </w:r>
          </w:p>
        </w:tc>
      </w:tr>
      <w:tr>
        <w:tc>
          <w:tcPr>
            <w:tcW w:type="dxa" w:w="200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r>
              <w:rPr>
                <w:rFonts w:ascii="Helvetica" w:cs="Helvetica" w:eastAsia="Helvetica" w:hAnsi="Helvetica"/>
                <w:b/>
                <w:bCs/>
                <w:color w:val="67441A"/>
                <w:sz w:val="20"/>
                <w:szCs w:val="20"/>
              </w:rPr>
              <w:t xml:space="preserve">Months 13–18</w:t>
            </w:r>
          </w:p>
        </w:tc>
        <w:tc>
          <w:tcPr>
            <w:tcW w:type="dxa" w:w="7360"/>
            <w:tcBorders>
              <w:top w:val="single" w:color="D4C5B0" w:sz="1"/>
              <w:left w:val="single" w:color="D4C5B0" w:sz="1"/>
              <w:bottom w:val="single" w:color="D4C5B0" w:sz="1"/>
              <w:right w:val="single" w:color="D4C5B0" w:sz="1"/>
            </w:tcBorders>
            <w:shd w:fill="FFFFFF" w:val="clear"/>
            <w:tcMar>
              <w:top w:type="dxa" w:w="80"/>
              <w:left w:type="dxa" w:w="120"/>
              <w:bottom w:type="dxa" w:w="80"/>
              <w:right w:type="dxa" w:w="120"/>
            </w:tcMar>
          </w:tcPr>
          <w:p>
            <w:pPr>
              <w:spacing w:line="260"/>
            </w:pPr>
            <w:r>
              <w:rPr>
                <w:rFonts w:ascii="Helvetica" w:cs="Helvetica" w:eastAsia="Helvetica" w:hAnsi="Helvetica"/>
                <w:color w:val="67441A"/>
                <w:sz w:val="19"/>
                <w:szCs w:val="19"/>
              </w:rPr>
              <w:t xml:space="preserve">Reach $1.2M+ ARR and 30,000 email subscribers. 10+ B2B partnerships generating $250K+. Achieve operational profitability. Position for Reg CF tooling and/or syndicate infrastructure.</w:t>
            </w:r>
          </w:p>
        </w:tc>
      </w:tr>
    </w:tbl>
    <w:p>
      <w:pPr>
        <w:spacing w:before="160" w:after="0"/>
      </w:pPr>
    </w:p>
    <w:p>
      <w:pPr>
        <w:spacing w:before="240" w:after="100"/>
      </w:pPr>
      <w:r>
        <w:rPr>
          <w:rFonts w:ascii="Arimo" w:cs="Arimo" w:eastAsia="Arimo" w:hAnsi="Arimo"/>
          <w:b/>
          <w:bCs/>
          <w:color w:val="67441A"/>
          <w:sz w:val="24"/>
          <w:szCs w:val="24"/>
        </w:rPr>
        <w:t xml:space="preserve">Why Sengo Wins</w:t>
      </w:r>
    </w:p>
    <w:p>
      <w:pPr>
        <w:spacing w:before="60" w:after="60" w:line="276"/>
        <w:jc w:val="left"/>
      </w:pPr>
      <w:r>
        <w:rPr>
          <w:rFonts w:ascii="Helvetica" w:cs="Helvetica" w:eastAsia="Helvetica" w:hAnsi="Helvetica"/>
          <w:color w:val="67441A"/>
          <w:sz w:val="21"/>
          <w:szCs w:val="21"/>
        </w:rPr>
        <w:t xml:space="preserve">The private markets democratization wave is creating a once-in-a-generation opportunity. BlackRock, Vanguard, Apollo, and KKR are racing to build products for retail investors—but they’re building from the top down, for high-net-worth clients first. Nobody is building from the community up.</w:t>
      </w:r>
    </w:p>
    <w:p>
      <w:pPr>
        <w:spacing w:before="60" w:after="60" w:line="276"/>
        <w:jc w:val="left"/>
      </w:pPr>
      <w:r>
        <w:rPr>
          <w:rFonts w:ascii="Helvetica" w:cs="Helvetica" w:eastAsia="Helvetica" w:hAnsi="Helvetica"/>
          <w:color w:val="67441A"/>
          <w:sz w:val="21"/>
          <w:szCs w:val="21"/>
        </w:rPr>
        <w:t xml:space="preserve">Sengo occupies a unique position: we are the AI-powered education and community layer that sits beneath the transaction platforms. We prepare founders to raise and investors to participate. As Bain’s 2026 report notes, serving retail investors requires “retail-ready distribution and investor education capabilities”—this is our core product, not an afterthought.</w:t>
      </w:r>
    </w:p>
    <w:p>
      <w:pPr>
        <w:spacing w:before="60" w:after="60" w:line="276"/>
        <w:jc w:val="left"/>
      </w:pPr>
      <w:r>
        <w:rPr>
          <w:rFonts w:ascii="Helvetica" w:cs="Helvetica" w:eastAsia="Helvetica" w:hAnsi="Helvetica"/>
          <w:color w:val="67441A"/>
          <w:sz w:val="21"/>
          <w:szCs w:val="21"/>
        </w:rPr>
        <w:t xml:space="preserve">With $500K deployed aggressively into technology, public presence, sales, and compliance, we will capture market share during this historic window, grow our community 10X, and reach self-sustaining profitability—establishing Sengo as the definitive platform for community-driven private market access without the need for additional fundraising.</w:t>
      </w:r>
    </w:p>
    <w:p>
      <w:pPr>
        <w:spacing w:before="60" w:after="0"/>
      </w:pPr>
    </w:p>
    <w:p>
      <w:pPr>
        <w:shd w:fill="F3EDE7" w:val="clear"/>
        <w:spacing w:before="80" w:after="80"/>
        <w:ind w:left="200" w:right="200"/>
      </w:pPr>
      <w:r>
        <w:rPr>
          <w:rFonts w:ascii="Helvetica" w:cs="Helvetica" w:eastAsia="Helvetica" w:hAnsi="Helvetica"/>
          <w:b/>
          <w:bCs/>
          <w:i/>
          <w:iCs/>
          <w:color w:val="1B3533"/>
          <w:sz w:val="21"/>
          <w:szCs w:val="21"/>
        </w:rPr>
        <w:t xml:space="preserve">We’re not building another crowdfunding portal. We’re building AI-powered infrastructure that makes private markets work for everyone—the education, community, and trust layer that the entire ecosystem needs. This is how we close the $14 trillion wealth gap, one founder and one funder at a time.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5B0" w:sz="1" w:space="4"/>
      </w:pBdr>
      <w:jc w:val="center"/>
    </w:pPr>
    <w:r>
      <w:rPr>
        <w:rFonts w:ascii="Helvetica" w:cs="Helvetica" w:eastAsia="Helvetica" w:hAnsi="Helvetica"/>
        <w:color w:val="744D1F"/>
        <w:sz w:val="16"/>
        <w:szCs w:val="16"/>
      </w:rPr>
      <w:t xml:space="preserve">Confidential  ·  Page </w:t>
    </w:r>
    <w:r>
      <w:rPr>
        <w:rFonts w:ascii="Helvetica" w:cs="Helvetica" w:eastAsia="Helvetica" w:hAnsi="Helvetica"/>
        <w:color w:val="744D1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5B0" w:sz="2" w:space="4"/>
      </w:pBdr>
      <w:jc w:val="right"/>
    </w:pPr>
    <w:r>
      <w:rPr>
        <w:rFonts w:ascii="Arimo" w:cs="Arimo" w:eastAsia="Arimo" w:hAnsi="Arimo"/>
        <w:b/>
        <w:bCs/>
        <w:color w:val="1B3533"/>
        <w:sz w:val="16"/>
        <w:szCs w:val="16"/>
      </w:rPr>
      <w:t xml:space="preserve">SENGO</w:t>
    </w:r>
    <w:r>
      <w:rPr>
        <w:rFonts w:ascii="Montserrat" w:cs="Montserrat" w:eastAsia="Montserrat" w:hAnsi="Montserrat"/>
        <w:color w:val="744D1F"/>
        <w:sz w:val="16"/>
        <w:szCs w:val="16"/>
      </w:rPr>
      <w:t xml:space="preserve">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mo" w:cs="Arimo" w:eastAsia="Arimo" w:hAnsi="Arimo"/>
        <w:color w:val="6744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2026-03-06T16:31:49.375Z</dcterms:created>
  <dcterms:modified xsi:type="dcterms:W3CDTF">2026-03-06T16:31:49.375Z</dcterms:modified>
</cp:coreProperties>
</file>

<file path=docProps/custom.xml><?xml version="1.0" encoding="utf-8"?>
<Properties xmlns="http://schemas.openxmlformats.org/officeDocument/2006/custom-properties" xmlns:vt="http://schemas.openxmlformats.org/officeDocument/2006/docPropsVTypes"/>
</file>