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p>
    <w:p>
      <w:pPr>
        <w:spacing w:before="0" w:after="240"/>
        <w:jc w:val="center"/>
      </w:pPr>
      <w:r>
        <w:rPr>
          <w:rFonts w:ascii="Arimo" w:cs="Arimo" w:eastAsia="Arimo" w:hAnsi="Arimo"/>
          <w:b/>
          <w:bCs/>
          <w:color w:val="1B3533"/>
          <w:sz w:val="48"/>
          <w:szCs w:val="48"/>
        </w:rPr>
        <w:t xml:space="preserve">Valuation Comparables Analysis</w:t>
      </w:r>
    </w:p>
    <w:p>
      <w:pPr>
        <w:spacing w:before="0" w:after="120"/>
        <w:jc w:val="center"/>
      </w:pPr>
      <w:r>
        <w:rPr>
          <w:rFonts w:ascii="Montserrat" w:cs="Montserrat" w:eastAsia="Montserrat" w:hAnsi="Montserrat"/>
          <w:color w:val="D57028"/>
          <w:sz w:val="28"/>
          <w:szCs w:val="28"/>
        </w:rPr>
        <w:t xml:space="preserve">Market Benchmarks for Pre-Seed Fundraise</w:t>
      </w:r>
    </w:p>
    <w:p>
      <w:pPr>
        <w:spacing w:before="400" w:after="0"/>
      </w:pPr>
    </w:p>
    <w:p>
      <w:pPr>
        <w:spacing w:before="0" w:after="60"/>
        <w:jc w:val="center"/>
      </w:pPr>
      <w:r>
        <w:rPr>
          <w:rFonts w:ascii="Arimo" w:cs="Arimo" w:eastAsia="Arimo" w:hAnsi="Arimo"/>
          <w:b/>
          <w:bCs/>
          <w:color w:val="1B3533"/>
          <w:sz w:val="24"/>
          <w:szCs w:val="24"/>
        </w:rPr>
        <w:t xml:space="preserve">Sengo</w:t>
      </w:r>
    </w:p>
    <w:p>
      <w:pPr>
        <w:spacing w:before="0" w:after="0"/>
        <w:jc w:val="center"/>
      </w:pPr>
      <w:r>
        <w:rPr>
          <w:rFonts w:ascii="Helvetica" w:cs="Helvetica" w:eastAsia="Helvetica" w:hAnsi="Helvetica"/>
          <w:color w:val="67441A"/>
          <w:sz w:val="22"/>
          <w:szCs w:val="22"/>
        </w:rPr>
        <w:t xml:space="preserve">Prepared March 2026</w:t>
      </w:r>
    </w:p>
    <w:p>
      <w:pPr>
        <w:spacing w:before="600" w:after="0"/>
      </w:pPr>
    </w:p>
    <w:p>
      <w:pPr>
        <w:spacing w:before="360" w:after="60"/>
      </w:pPr>
      <w:r>
        <w:rPr>
          <w:rFonts w:ascii="Arimo" w:cs="Arimo" w:eastAsia="Arimo" w:hAnsi="Arimo"/>
          <w:b/>
          <w:bCs/>
          <w:color w:val="1B3533"/>
          <w:sz w:val="28"/>
          <w:szCs w:val="28"/>
        </w:rPr>
        <w:t xml:space="preserve">1. EXECUTIVE SUMMARY</w:t>
      </w:r>
    </w:p>
    <w:p>
      <w:pPr>
        <w:spacing w:before="0" w:after="120"/>
        <w:jc w:val="left"/>
      </w:pPr>
      <w:r>
        <w:rPr>
          <w:rFonts w:ascii="Helvetica" w:cs="Helvetica" w:eastAsia="Helvetica" w:hAnsi="Helvetica"/>
          <w:b w:val="false"/>
          <w:bCs w:val="false"/>
          <w:color w:val="67441A"/>
          <w:sz w:val="22"/>
          <w:szCs w:val="22"/>
        </w:rPr>
        <w:t xml:space="preserve">This analysis benchmarks Sengo's valuation against comparable companies in the community-powered fintech and alternative capital access space. Four direct comparables—Hello Alice, KingsCrowd, DealMaker, and Cherub—alongside broader market multiple data support Sengo's $4–5M pre-money valuation cap at the pre-seed stage.</w:t>
      </w:r>
    </w:p>
    <w:p>
      <w:pPr>
        <w:spacing w:before="0" w:after="240"/>
        <w:jc w:val="left"/>
      </w:pPr>
      <w:r>
        <w:rPr>
          <w:rFonts w:ascii="Helvetica" w:cs="Helvetica" w:eastAsia="Helvetica" w:hAnsi="Helvetica"/>
          <w:b w:val="false"/>
          <w:bCs w:val="false"/>
          <w:color w:val="67441A"/>
          <w:sz w:val="22"/>
          <w:szCs w:val="22"/>
        </w:rPr>
        <w:t xml:space="preserve">Each comparable operates in adjacent markets within the alternative capital ecosystem, from community platforms and data infrastructure to transaction facilitators and angel investing marketplaces. All validate the business model, market timing, and pricing framework that justify Sengo's initial valuation and growth trajectory.</w:t>
      </w:r>
    </w:p>
    <w:p>
      <w:pPr>
        <w:spacing w:before="360" w:after="60"/>
      </w:pPr>
      <w:r>
        <w:rPr>
          <w:rFonts w:ascii="Arimo" w:cs="Arimo" w:eastAsia="Arimo" w:hAnsi="Arimo"/>
          <w:b/>
          <w:bCs/>
          <w:color w:val="1B3533"/>
          <w:sz w:val="28"/>
          <w:szCs w:val="28"/>
        </w:rPr>
        <w:t xml:space="preserve">2. COMPARABLE COMPANIES</w:t>
      </w:r>
    </w:p>
    <w:p>
      <w:pPr>
        <w:spacing w:before="240" w:after="40"/>
      </w:pPr>
      <w:r>
        <w:rPr>
          <w:rFonts w:ascii="Montserrat" w:cs="Montserrat" w:eastAsia="Montserrat" w:hAnsi="Montserrat"/>
          <w:b/>
          <w:bCs/>
          <w:color w:val="D57028"/>
          <w:sz w:val="22"/>
          <w:szCs w:val="22"/>
        </w:rPr>
        <w:t xml:space="preserve">Hello Alice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180" w:hRule="atLeast"/>
        </w:trPr>
        <w:tc>
          <w:tcPr>
            <w:tcW w:type="dxa" w:w="234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Metric</w:t>
            </w:r>
          </w:p>
        </w:tc>
        <w:tc>
          <w:tcPr>
            <w:tcW w:type="dxa" w:w="702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Value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Headquarters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Houston, TX</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Founded</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2017</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Founders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Carolyn Rodz, Elizabeth Gore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Latest Valuation</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$130M (Series C, April 2024)</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Total Raised</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~$43M (Seed through Series C)</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Lead Investor</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QED Investors</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Est. Revenue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~$12.5M</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Revenue Multiple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~10.4x</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Community</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1.5M+ entrepreneurs</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Employees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11-50</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Newsletter</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1M audience, 37% open rate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B2B Tiers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$50K–$150K–$1M (Hero)</w:t>
            </w:r>
          </w:p>
        </w:tc>
      </w:tr>
    </w:tbl>
    <w:p>
      <w:pPr>
        <w:spacing w:before="120" w:after="120"/>
        <w:jc w:val="left"/>
      </w:pPr>
      <w:r>
        <w:rPr>
          <w:rFonts w:ascii="Helvetica" w:cs="Helvetica" w:eastAsia="Helvetica" w:hAnsi="Helvetica"/>
          <w:b w:val="false"/>
          <w:bCs w:val="false"/>
          <w:color w:val="67441A"/>
          <w:sz w:val="22"/>
          <w:szCs w:val="22"/>
        </w:rPr>
        <w:t xml:space="preserve">Key Partners: Mastercard, JPMorgan Chase, Google, Verizon, AWS, Goldman Sachs, PepsiCo, Salesforce</w:t>
      </w:r>
    </w:p>
    <w:p>
      <w:pPr>
        <w:spacing w:before="0" w:after="240"/>
        <w:jc w:val="left"/>
      </w:pPr>
      <w:r>
        <w:rPr>
          <w:rFonts w:ascii="Helvetica" w:cs="Helvetica" w:eastAsia="Helvetica" w:hAnsi="Helvetica"/>
          <w:b w:val="false"/>
          <w:bCs w:val="false"/>
          <w:color w:val="67441A"/>
          <w:sz w:val="22"/>
          <w:szCs w:val="22"/>
        </w:rPr>
        <w:t xml:space="preserve">Model Comparison: Nearly identical B2B model to Sengo. Hello Alice monetizes through enterprise partner sponsorships layered on a free community platform—partners pay to access the SMB community through events, newsletters, social, and data. Sengo runs the same playbook in a focused vertical (private markets and capital access). Hello Alice's $75K–$150K per-partner pricing validates Sengo's B2B tiers ($10K–$75K+) as conservative with room to grow. Both are Houston-based with lean teams driving outsized community engagement.</w:t>
      </w:r>
    </w:p>
    <w:p>
      <w:pPr>
        <w:spacing w:before="240" w:after="40"/>
      </w:pPr>
      <w:r>
        <w:rPr>
          <w:rFonts w:ascii="Montserrat" w:cs="Montserrat" w:eastAsia="Montserrat" w:hAnsi="Montserrat"/>
          <w:b/>
          <w:bCs/>
          <w:color w:val="D57028"/>
          <w:sz w:val="22"/>
          <w:szCs w:val="22"/>
        </w:rPr>
        <w:t xml:space="preserve">KingsCrowd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180" w:hRule="atLeast"/>
        </w:trPr>
        <w:tc>
          <w:tcPr>
            <w:tcW w:type="dxa" w:w="234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Metric</w:t>
            </w:r>
          </w:p>
        </w:tc>
        <w:tc>
          <w:tcPr>
            <w:tcW w:type="dxa" w:w="702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Value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Headquarters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Cincinnati, OH</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Founded</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2018</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Latest Valuation</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$13.93M (2025 StartEngine raise)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Total Raised</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~$7.4M–$22.6M</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2024 Revenue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$1.7M (confirmed)</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Revenue Growth</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60%+ YoY</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Revenue Multiple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~8.2x</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Positioning</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"Bloomberg of alternative investing"</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Key Metric</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8,000+ raises tracked, 300+ data points per raise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New Revenue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50% from new business lines in 2024</w:t>
            </w:r>
          </w:p>
        </w:tc>
      </w:tr>
    </w:tbl>
    <w:p>
      <w:pPr>
        <w:spacing w:before="120" w:after="240"/>
        <w:jc w:val="left"/>
      </w:pPr>
      <w:r>
        <w:rPr>
          <w:rFonts w:ascii="Helvetica" w:cs="Helvetica" w:eastAsia="Helvetica" w:hAnsi="Helvetica"/>
          <w:b w:val="false"/>
          <w:bCs w:val="false"/>
          <w:color w:val="67441A"/>
          <w:sz w:val="22"/>
          <w:szCs w:val="22"/>
        </w:rPr>
        <w:t xml:space="preserve">Model Comparison: KingsCrowd provides the data infrastructure layer for private markets—ratings, analytics, and insights on alternative investment opportunities. Sengo provides the community and capital readiness layer. Complementary, not competitive. Both serve the alternative investing ecosystem. KingsCrowd's 8.2x revenue multiple at $1.7M revenue is a direct benchmark for Sengo's early-stage valuation, validating that high-growth fintech platforms in this space command strong multiples.</w:t>
      </w:r>
    </w:p>
    <w:p>
      <w:pPr>
        <w:spacing w:before="240" w:after="40"/>
      </w:pPr>
      <w:r>
        <w:rPr>
          <w:rFonts w:ascii="Montserrat" w:cs="Montserrat" w:eastAsia="Montserrat" w:hAnsi="Montserrat"/>
          <w:b/>
          <w:bCs/>
          <w:color w:val="D57028"/>
          <w:sz w:val="22"/>
          <w:szCs w:val="22"/>
        </w:rPr>
        <w:t xml:space="preserve">DealMaker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180" w:hRule="atLeast"/>
        </w:trPr>
        <w:tc>
          <w:tcPr>
            <w:tcW w:type="dxa" w:w="234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Metric</w:t>
            </w:r>
          </w:p>
        </w:tc>
        <w:tc>
          <w:tcPr>
            <w:tcW w:type="dxa" w:w="702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Value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Headquarters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New York, NY (originally Toronto)</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Founded</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2016</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Founders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Rebecca Kacaba, Mat Goldstein</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Latest Raise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$20M equity + debt (Nov 2025)</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Est. Revenue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~$20.4M</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Employees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51-200</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Platform Volume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$2.3B facilitated</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Offerings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900+ offerings, 1.5M investments</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Peak Growth</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500% YoY</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Ranking</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 retail capital-raising platform in North America</w:t>
            </w:r>
          </w:p>
        </w:tc>
      </w:tr>
    </w:tbl>
    <w:p>
      <w:pPr>
        <w:spacing w:before="120" w:after="240"/>
        <w:jc w:val="left"/>
      </w:pPr>
      <w:r>
        <w:rPr>
          <w:rFonts w:ascii="Helvetica" w:cs="Helvetica" w:eastAsia="Helvetica" w:hAnsi="Helvetica"/>
          <w:b w:val="false"/>
          <w:bCs w:val="false"/>
          <w:color w:val="67441A"/>
          <w:sz w:val="22"/>
          <w:szCs w:val="22"/>
        </w:rPr>
        <w:t xml:space="preserve">Model Comparison: DealMaker provides the transactional infrastructure for capital raises—a software platform enabling companies to conduct equity, debt, and other raises at scale. Sengo provides the community, education, and capital readiness layer that feeds investors and founders into platforms like DealMaker. DealMaker's scale ($2.3B facilitated) validates the massive TAM in alternative capital access and demonstrates the network effects and monetization potential of platforms serving this ecosystem.</w:t>
      </w:r>
    </w:p>
    <w:p>
      <w:pPr>
        <w:spacing w:before="240" w:after="40"/>
      </w:pPr>
      <w:r>
        <w:rPr>
          <w:rFonts w:ascii="Montserrat" w:cs="Montserrat" w:eastAsia="Montserrat" w:hAnsi="Montserrat"/>
          <w:b/>
          <w:bCs/>
          <w:color w:val="D57028"/>
          <w:sz w:val="22"/>
          <w:szCs w:val="22"/>
        </w:rPr>
        <w:t xml:space="preserve">Cherub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rHeight w:val="180" w:hRule="atLeast"/>
        </w:trPr>
        <w:tc>
          <w:tcPr>
            <w:tcW w:type="dxa" w:w="234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Metric</w:t>
            </w:r>
          </w:p>
        </w:tc>
        <w:tc>
          <w:tcPr>
            <w:tcW w:type="dxa" w:w="7020"/>
            <w:tcBorders>
              <w:top w:val="single" w:color="D4C5B0" w:sz="1"/>
              <w:left w:val="single" w:color="D4C5B0" w:sz="1"/>
              <w:bottom w:val="single" w:color="D4C5B0" w:sz="1"/>
              <w:right w:val="single" w:color="D4C5B0" w:sz="1"/>
            </w:tcBorders>
            <w:shd w:fill="F3EDE7" w:val="clear"/>
            <w:tcMar>
              <w:top w:type="dxa" w:w="60"/>
              <w:left w:type="dxa" w:w="100"/>
              <w:bottom w:type="dxa" w:w="60"/>
              <w:right w:type="dxa" w:w="100"/>
            </w:tcMar>
          </w:tcPr>
          <w:p>
            <w:r>
              <w:rPr>
                <w:rFonts w:ascii="Montserrat" w:cs="Montserrat" w:eastAsia="Montserrat" w:hAnsi="Montserrat"/>
                <w:b/>
                <w:bCs/>
                <w:color w:val="D57028"/>
              </w:rPr>
              <w:t xml:space="preserve">Value</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Headquarters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Los Angeles, CA</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Founded</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2023</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Founders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Jaclyn Johnson, Angeline Vuong</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Total Raised</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~$2M (pre-seed)</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Est. Revenue</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~$50K (as of April 2024)</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Business Model</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Subscription marketplace — $79/mo for founders, free for angels</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Community</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1,000+ angel investors, 100+ startups</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Positioning</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"Raya of angel investing" — curated matchmaking between founders and angels</w:t>
            </w:r>
          </w:p>
        </w:tc>
      </w:tr>
      <w:tr>
        <w:tc>
          <w:tcPr>
            <w:tcW w:type="dxa" w:w="234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Employees</w:t>
            </w:r>
          </w:p>
        </w:tc>
        <w:tc>
          <w:tcPr>
            <w:tcW w:type="dxa" w:w="7020"/>
            <w:tcBorders>
              <w:top w:val="single" w:color="D4C5B0" w:sz="1"/>
              <w:left w:val="single" w:color="D4C5B0" w:sz="1"/>
              <w:bottom w:val="single" w:color="D4C5B0" w:sz="1"/>
              <w:right w:val="single" w:color="D4C5B0" w:sz="1"/>
            </w:tcBorders>
            <w:tcMar>
              <w:top w:type="dxa" w:w="60"/>
              <w:left w:type="dxa" w:w="100"/>
              <w:bottom w:type="dxa" w:w="60"/>
              <w:right w:type="dxa" w:w="100"/>
            </w:tcMar>
          </w:tcPr>
          <w:p>
            <w:pPr>
              <w:spacing w:before="0" w:after="120"/>
              <w:jc w:val="left"/>
            </w:pPr>
            <w:r>
              <w:rPr>
                <w:rFonts w:ascii="Helvetica" w:cs="Helvetica" w:eastAsia="Helvetica" w:hAnsi="Helvetica"/>
                <w:b w:val="false"/>
                <w:bCs w:val="false"/>
                <w:color w:val="67441A"/>
                <w:sz w:val="22"/>
                <w:szCs w:val="22"/>
              </w:rPr>
              <w:t xml:space="preserve">&lt;10 (early stage)</w:t>
            </w:r>
          </w:p>
        </w:tc>
      </w:tr>
    </w:tbl>
    <w:p>
      <w:pPr>
        <w:spacing w:before="120" w:after="240"/>
        <w:jc w:val="left"/>
      </w:pPr>
      <w:r>
        <w:rPr>
          <w:rFonts w:ascii="Helvetica" w:cs="Helvetica" w:eastAsia="Helvetica" w:hAnsi="Helvetica"/>
          <w:b w:val="false"/>
          <w:bCs w:val="false"/>
          <w:color w:val="67441A"/>
          <w:sz w:val="22"/>
          <w:szCs w:val="22"/>
        </w:rPr>
        <w:t xml:space="preserve">Model Comparison: Cherub is the closest stage-comparable to Sengo—both are early-stage, community-first platforms connecting founders with capital. Cherub focuses narrowly on angel investor matchmaking through a curated, subscription-based marketplace. Sengo takes a broader approach: education, community, events, and dealflow across both angel and alternative capital. Cherub's $2M raise at a similar stage with lower revenue (~$50K vs. Sengo's $217K) and a narrower product offering reinforces Sengo's relative strength in traction, revenue diversification, and market positioning.</w:t>
      </w:r>
    </w:p>
    <w:p>
      <w:pPr>
        <w:spacing w:before="300" w:after="0"/>
      </w:pPr>
    </w:p>
    <w:p>
      <w:pPr>
        <w:spacing w:before="360" w:after="60"/>
      </w:pPr>
      <w:r>
        <w:rPr>
          <w:rFonts w:ascii="Arimo" w:cs="Arimo" w:eastAsia="Arimo" w:hAnsi="Arimo"/>
          <w:b/>
          <w:bCs/>
          <w:color w:val="1B3533"/>
          <w:sz w:val="28"/>
          <w:szCs w:val="28"/>
        </w:rPr>
        <w:t xml:space="preserve">3. COMPARABLES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680"/>
        <w:gridCol w:w="1400"/>
        <w:gridCol w:w="1680"/>
        <w:gridCol w:w="1700"/>
      </w:tblGrid>
      <w:tr>
        <w:trPr>
          <w:trHeight w:val="200" w:hRule="atLeast"/>
        </w:trPr>
        <w:tc>
          <w:tcPr>
            <w:tcW w:type="dxa" w:w="120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rPr>
                <w:rFonts w:ascii="Montserrat" w:cs="Montserrat" w:eastAsia="Montserrat" w:hAnsi="Montserrat"/>
                <w:b/>
                <w:bCs/>
                <w:color w:val="FFFFFF"/>
                <w:sz w:val="18"/>
                <w:szCs w:val="18"/>
              </w:rPr>
              <w:t xml:space="preserve">Metric</w:t>
            </w:r>
          </w:p>
        </w:tc>
        <w:tc>
          <w:tcPr>
            <w:tcW w:type="dxa" w:w="170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rPr>
                <w:rFonts w:ascii="Montserrat" w:cs="Montserrat" w:eastAsia="Montserrat" w:hAnsi="Montserrat"/>
                <w:b/>
                <w:bCs/>
                <w:color w:val="FFFFFF"/>
                <w:sz w:val="18"/>
                <w:szCs w:val="18"/>
              </w:rPr>
              <w:t xml:space="preserve">Hello Alice</w:t>
            </w:r>
          </w:p>
        </w:tc>
        <w:tc>
          <w:tcPr>
            <w:tcW w:type="dxa" w:w="168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rPr>
                <w:rFonts w:ascii="Montserrat" w:cs="Montserrat" w:eastAsia="Montserrat" w:hAnsi="Montserrat"/>
                <w:b/>
                <w:bCs/>
                <w:color w:val="FFFFFF"/>
                <w:sz w:val="18"/>
                <w:szCs w:val="18"/>
              </w:rPr>
              <w:t xml:space="preserve">KingsCrowd</w:t>
            </w:r>
          </w:p>
        </w:tc>
        <w:tc>
          <w:tcPr>
            <w:tcW w:type="dxa" w:w="140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rPr>
                <w:rFonts w:ascii="Montserrat" w:cs="Montserrat" w:eastAsia="Montserrat" w:hAnsi="Montserrat"/>
                <w:b/>
                <w:bCs/>
                <w:color w:val="FFFFFF"/>
                <w:sz w:val="18"/>
                <w:szCs w:val="18"/>
              </w:rPr>
              <w:t xml:space="preserve">Cherub</w:t>
            </w:r>
          </w:p>
        </w:tc>
        <w:tc>
          <w:tcPr>
            <w:tcW w:type="dxa" w:w="168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rPr>
                <w:rFonts w:ascii="Montserrat" w:cs="Montserrat" w:eastAsia="Montserrat" w:hAnsi="Montserrat"/>
                <w:b/>
                <w:bCs/>
                <w:color w:val="FFFFFF"/>
                <w:sz w:val="18"/>
                <w:szCs w:val="18"/>
              </w:rPr>
              <w:t xml:space="preserve">DealMaker</w:t>
            </w:r>
          </w:p>
        </w:tc>
        <w:tc>
          <w:tcPr>
            <w:tcW w:type="dxa" w:w="170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rPr>
                <w:rFonts w:ascii="Montserrat" w:cs="Montserrat" w:eastAsia="Montserrat" w:hAnsi="Montserrat"/>
                <w:b/>
                <w:bCs/>
                <w:color w:val="FFFFFF"/>
                <w:sz w:val="18"/>
                <w:szCs w:val="18"/>
              </w:rPr>
              <w:t xml:space="preserve">Sengo</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Founded</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2017</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2018</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2023</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2016</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2024</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HQ</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Houston</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Cincinnati</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LA</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New York</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Houston</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Valuation</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$130M</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$13.93M</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N/D</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N/A</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$4–5M cap</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Revenue</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~$12.5M</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$1.7M</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~$50K</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~$20.4M</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$217K</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Raised</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$43M</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$7.4–22.6M</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~$2M</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$20M+</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$500K tgt</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Community</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1.5M+</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8K+ raises</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1K+ angels</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1.5M invest</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10K+ subs</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Team</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11-50</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Lean team</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&lt;10</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51-200</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1 (founder)</w:t>
            </w:r>
          </w:p>
        </w:tc>
      </w:tr>
      <w:tr>
        <w:tc>
          <w:tcPr>
            <w:tcW w:type="dxa" w:w="12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Model</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B2B + community</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Data + SaaS</w:t>
            </w:r>
          </w:p>
        </w:tc>
        <w:tc>
          <w:tcPr>
            <w:tcW w:type="dxa" w:w="14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Subscription</w:t>
            </w:r>
          </w:p>
        </w:tc>
        <w:tc>
          <w:tcPr>
            <w:tcW w:type="dxa" w:w="168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Transaction</w:t>
            </w:r>
          </w:p>
        </w:tc>
        <w:tc>
          <w:tcPr>
            <w:tcW w:type="dxa" w:w="17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18"/>
                <w:szCs w:val="18"/>
              </w:rPr>
              <w:t xml:space="preserve">B2B + SaaS</w:t>
            </w:r>
          </w:p>
        </w:tc>
      </w:tr>
    </w:tbl>
    <w:p>
      <w:pPr>
        <w:spacing w:before="200" w:after="0"/>
      </w:pPr>
    </w:p>
    <w:p>
      <w:pPr>
        <w:spacing w:before="600" w:after="0"/>
      </w:pPr>
    </w:p>
    <w:p>
      <w:pPr>
        <w:spacing w:before="360" w:after="60"/>
      </w:pPr>
      <w:r>
        <w:rPr>
          <w:rFonts w:ascii="Arimo" w:cs="Arimo" w:eastAsia="Arimo" w:hAnsi="Arimo"/>
          <w:b/>
          <w:bCs/>
          <w:color w:val="1B3533"/>
          <w:sz w:val="28"/>
          <w:szCs w:val="28"/>
        </w:rPr>
        <w:t xml:space="preserve">4. REVENUE MULTIPLE BENCHMARKS</w:t>
      </w:r>
    </w:p>
    <w:p>
      <w:pPr>
        <w:spacing w:before="0" w:after="180"/>
        <w:jc w:val="left"/>
      </w:pPr>
      <w:r>
        <w:rPr>
          <w:rFonts w:ascii="Helvetica" w:cs="Helvetica" w:eastAsia="Helvetica" w:hAnsi="Helvetica"/>
          <w:b w:val="false"/>
          <w:bCs w:val="false"/>
          <w:color w:val="67441A"/>
          <w:sz w:val="22"/>
          <w:szCs w:val="22"/>
        </w:rPr>
        <w:t xml:space="preserve">Industry benchmarks for revenue multiples vary significantly by stage, growth profile, and market position. Seed-stage fintech companies command higher multiples than growth-stage peers due to growth potential and market opportunity:</w:t>
      </w:r>
    </w:p>
    <w:p>
      <w:pPr>
        <w:pStyle w:val="ListParagraph"/>
        <w:numPr>
          <w:ilvl w:val="0"/>
          <w:numId w:val="2"/>
        </w:numPr>
        <w:spacing w:before="0" w:after="100"/>
      </w:pPr>
      <w:r>
        <w:rPr>
          <w:rFonts w:ascii="Helvetica" w:cs="Helvetica" w:eastAsia="Helvetica" w:hAnsi="Helvetica"/>
          <w:color w:val="67441A"/>
          <w:sz w:val="22"/>
          <w:szCs w:val="22"/>
        </w:rPr>
        <w:t xml:space="preserve">Seed stage fintech: 9x–25x revenue (pricing for growth potential, not current traction)</w:t>
      </w:r>
    </w:p>
    <w:p>
      <w:pPr>
        <w:pStyle w:val="ListParagraph"/>
        <w:numPr>
          <w:ilvl w:val="0"/>
          <w:numId w:val="2"/>
        </w:numPr>
        <w:spacing w:before="0" w:after="100"/>
      </w:pPr>
      <w:r>
        <w:rPr>
          <w:rFonts w:ascii="Helvetica" w:cs="Helvetica" w:eastAsia="Helvetica" w:hAnsi="Helvetica"/>
          <w:color w:val="67441A"/>
          <w:sz w:val="22"/>
          <w:szCs w:val="22"/>
        </w:rPr>
        <w:t xml:space="preserve">Growth stage fintech (Series B/C): 3.7x–7.4x revenue (M&amp;A and later-round benchmarks)</w:t>
      </w:r>
    </w:p>
    <w:p>
      <w:pPr>
        <w:pStyle w:val="ListParagraph"/>
        <w:numPr>
          <w:ilvl w:val="0"/>
          <w:numId w:val="2"/>
        </w:numPr>
        <w:spacing w:before="0" w:after="100"/>
      </w:pPr>
      <w:r>
        <w:rPr>
          <w:rFonts w:ascii="Helvetica" w:cs="Helvetica" w:eastAsia="Helvetica" w:hAnsi="Helvetica"/>
          <w:color w:val="67441A"/>
          <w:sz w:val="22"/>
          <w:szCs w:val="22"/>
        </w:rPr>
        <w:t xml:space="preserve">Median SaaS (B2B): 5.9x–6.7x revenue (all stages)</w:t>
      </w:r>
    </w:p>
    <w:p>
      <w:pPr>
        <w:pStyle w:val="ListParagraph"/>
        <w:numPr>
          <w:ilvl w:val="0"/>
          <w:numId w:val="2"/>
        </w:numPr>
        <w:spacing w:before="0" w:after="100"/>
      </w:pPr>
      <w:r>
        <w:rPr>
          <w:rFonts w:ascii="Helvetica" w:cs="Helvetica" w:eastAsia="Helvetica" w:hAnsi="Helvetica"/>
          <w:color w:val="67441A"/>
          <w:sz w:val="22"/>
          <w:szCs w:val="22"/>
        </w:rPr>
        <w:t xml:space="preserve">40%+ ARR growth companies: 7x–10x revenue (hyper-growth premium)</w:t>
      </w:r>
    </w:p>
    <w:p>
      <w:pPr>
        <w:pStyle w:val="ListParagraph"/>
        <w:numPr>
          <w:ilvl w:val="0"/>
          <w:numId w:val="2"/>
        </w:numPr>
        <w:spacing w:before="0" w:after="100"/>
      </w:pPr>
      <w:r>
        <w:rPr>
          <w:rFonts w:ascii="Helvetica" w:cs="Helvetica" w:eastAsia="Helvetica" w:hAnsi="Helvetica"/>
          <w:color w:val="67441A"/>
          <w:sz w:val="22"/>
          <w:szCs w:val="22"/>
        </w:rPr>
        <w:t xml:space="preserve">AI/embedded finance: Premium multiples (10x–20x+) due to market expansion</w:t>
      </w:r>
    </w:p>
    <w:p>
      <w:pPr>
        <w:spacing w:before="180" w:after="240"/>
        <w:jc w:val="left"/>
      </w:pPr>
      <w:r>
        <w:rPr>
          <w:rFonts w:ascii="Helvetica" w:cs="Helvetica" w:eastAsia="Helvetica" w:hAnsi="Helvetica"/>
          <w:b w:val="false"/>
          <w:bCs w:val="false"/>
          <w:color w:val="67441A"/>
          <w:sz w:val="22"/>
          <w:szCs w:val="22"/>
        </w:rPr>
        <w:t xml:space="preserve">Sengo's implied multiple at pre-seed stage reflects standard venture pricing practice: pricing future revenue potential and market opportunity over current traction. The company has demonstrated product-market fit ($217K trailing revenue across five revenue streams) and exceptional unit economics (46%+ email open rate, 4x industry average), justifying the valuation range for an early-stage platform.</w:t>
      </w:r>
    </w:p>
    <w:p>
      <w:pPr>
        <w:spacing w:before="360" w:after="60"/>
      </w:pPr>
      <w:r>
        <w:rPr>
          <w:rFonts w:ascii="Arimo" w:cs="Arimo" w:eastAsia="Arimo" w:hAnsi="Arimo"/>
          <w:b/>
          <w:bCs/>
          <w:color w:val="1B3533"/>
          <w:sz w:val="28"/>
          <w:szCs w:val="28"/>
        </w:rPr>
        <w:t xml:space="preserve">5. WHY $4–5M PRE-SEED CAP IS JUSTIFIED</w:t>
      </w:r>
    </w:p>
    <w:p>
      <w:pPr>
        <w:spacing w:before="240" w:after="40"/>
      </w:pPr>
      <w:r>
        <w:rPr>
          <w:rFonts w:ascii="Montserrat" w:cs="Montserrat" w:eastAsia="Montserrat" w:hAnsi="Montserrat"/>
          <w:b/>
          <w:bCs/>
          <w:color w:val="D57028"/>
          <w:sz w:val="22"/>
          <w:szCs w:val="22"/>
        </w:rPr>
        <w:t xml:space="preserve">Product-Market Fit &amp; Traction</w:t>
      </w:r>
    </w:p>
    <w:p>
      <w:pPr>
        <w:pStyle w:val="ListParagraph"/>
        <w:numPr>
          <w:ilvl w:val="0"/>
          <w:numId w:val="2"/>
        </w:numPr>
        <w:spacing w:before="0" w:after="100"/>
      </w:pPr>
      <w:r>
        <w:rPr>
          <w:rFonts w:ascii="Helvetica" w:cs="Helvetica" w:eastAsia="Helvetica" w:hAnsi="Helvetica"/>
          <w:color w:val="67441A"/>
          <w:sz w:val="22"/>
          <w:szCs w:val="22"/>
        </w:rPr>
        <w:t xml:space="preserve">Trailing revenue of $217K across five distinct revenue streams (B2B sponsorships, SaaS, coaching, grants, partnerships)</w:t>
      </w:r>
    </w:p>
    <w:p>
      <w:pPr>
        <w:pStyle w:val="ListParagraph"/>
        <w:numPr>
          <w:ilvl w:val="0"/>
          <w:numId w:val="2"/>
        </w:numPr>
        <w:spacing w:before="0" w:after="100"/>
      </w:pPr>
      <w:r>
        <w:rPr>
          <w:rFonts w:ascii="Helvetica" w:cs="Helvetica" w:eastAsia="Helvetica" w:hAnsi="Helvetica"/>
          <w:color w:val="67441A"/>
          <w:sz w:val="22"/>
          <w:szCs w:val="22"/>
        </w:rPr>
        <w:t xml:space="preserve">10,000+ email subscribers with 46%+ open rate—4x the industry average—demonstrating exceptional engagement</w:t>
      </w:r>
    </w:p>
    <w:p>
      <w:pPr>
        <w:pStyle w:val="ListParagraph"/>
        <w:numPr>
          <w:ilvl w:val="0"/>
          <w:numId w:val="2"/>
        </w:numPr>
        <w:spacing w:before="0" w:after="100"/>
      </w:pPr>
      <w:r>
        <w:rPr>
          <w:rFonts w:ascii="Helvetica" w:cs="Helvetica" w:eastAsia="Helvetica" w:hAnsi="Helvetica"/>
          <w:color w:val="67441A"/>
          <w:sz w:val="22"/>
          <w:szCs w:val="22"/>
        </w:rPr>
        <w:t xml:space="preserve">$69,656 in grants secured in Year 1, validating impact alignment with institutional funders</w:t>
      </w:r>
    </w:p>
    <w:p>
      <w:pPr>
        <w:pStyle w:val="ListParagraph"/>
        <w:numPr>
          <w:ilvl w:val="0"/>
          <w:numId w:val="2"/>
        </w:numPr>
        <w:spacing w:before="0" w:after="100"/>
      </w:pPr>
      <w:r>
        <w:rPr>
          <w:rFonts w:ascii="Helvetica" w:cs="Helvetica" w:eastAsia="Helvetica" w:hAnsi="Helvetica"/>
          <w:color w:val="67441A"/>
          <w:sz w:val="22"/>
          <w:szCs w:val="22"/>
        </w:rPr>
        <w:t xml:space="preserve">19 founders served through grant program with documented outcomes</w:t>
      </w:r>
    </w:p>
    <w:p>
      <w:pPr>
        <w:spacing w:before="240" w:after="40"/>
      </w:pPr>
      <w:r>
        <w:rPr>
          <w:rFonts w:ascii="Montserrat" w:cs="Montserrat" w:eastAsia="Montserrat" w:hAnsi="Montserrat"/>
          <w:b/>
          <w:bCs/>
          <w:color w:val="D57028"/>
          <w:sz w:val="22"/>
          <w:szCs w:val="22"/>
        </w:rPr>
        <w:t xml:space="preserve">Market Validation &amp; Comparable Analysis</w:t>
      </w:r>
    </w:p>
    <w:p>
      <w:pPr>
        <w:pStyle w:val="ListParagraph"/>
        <w:numPr>
          <w:ilvl w:val="0"/>
          <w:numId w:val="2"/>
        </w:numPr>
        <w:spacing w:before="0" w:after="100"/>
      </w:pPr>
      <w:r>
        <w:rPr>
          <w:rFonts w:ascii="Helvetica" w:cs="Helvetica" w:eastAsia="Helvetica" w:hAnsi="Helvetica"/>
          <w:color w:val="67441A"/>
          <w:sz w:val="22"/>
          <w:szCs w:val="22"/>
        </w:rPr>
        <w:t xml:space="preserve">Direct comparable (Hello Alice) is Houston-based with identical B2B model, valued at $130M with 1.5M community members</w:t>
      </w:r>
    </w:p>
    <w:p>
      <w:pPr>
        <w:pStyle w:val="ListParagraph"/>
        <w:numPr>
          <w:ilvl w:val="0"/>
          <w:numId w:val="2"/>
        </w:numPr>
        <w:spacing w:before="0" w:after="100"/>
      </w:pPr>
      <w:r>
        <w:rPr>
          <w:rFonts w:ascii="Helvetica" w:cs="Helvetica" w:eastAsia="Helvetica" w:hAnsi="Helvetica"/>
          <w:color w:val="67441A"/>
          <w:sz w:val="22"/>
          <w:szCs w:val="22"/>
        </w:rPr>
        <w:t xml:space="preserve">Hello Alice's $75K–$150K per-partner pricing directly validates Sengo's B2B tiers ($10K–$75K+) as conservative</w:t>
      </w:r>
    </w:p>
    <w:p>
      <w:pPr>
        <w:pStyle w:val="ListParagraph"/>
        <w:numPr>
          <w:ilvl w:val="0"/>
          <w:numId w:val="2"/>
        </w:numPr>
        <w:spacing w:before="0" w:after="100"/>
      </w:pPr>
      <w:r>
        <w:rPr>
          <w:rFonts w:ascii="Helvetica" w:cs="Helvetica" w:eastAsia="Helvetica" w:hAnsi="Helvetica"/>
          <w:color w:val="67441A"/>
          <w:sz w:val="22"/>
          <w:szCs w:val="22"/>
        </w:rPr>
        <w:t xml:space="preserve">KingsCrowd's 8.2x revenue multiple at $1.7M revenue sets a direct early-stage benchmark for growth fintech</w:t>
      </w:r>
    </w:p>
    <w:p>
      <w:pPr>
        <w:pStyle w:val="ListParagraph"/>
        <w:numPr>
          <w:ilvl w:val="0"/>
          <w:numId w:val="2"/>
        </w:numPr>
        <w:spacing w:before="0" w:after="100"/>
      </w:pPr>
      <w:r>
        <w:rPr>
          <w:rFonts w:ascii="Helvetica" w:cs="Helvetica" w:eastAsia="Helvetica" w:hAnsi="Helvetica"/>
          <w:color w:val="67441A"/>
          <w:sz w:val="22"/>
          <w:szCs w:val="22"/>
        </w:rPr>
        <w:t xml:space="preserve">DealMaker's $2.3B facilitated volume demonstrates the massive TAM for alternative capital access</w:t>
      </w:r>
    </w:p>
    <w:p>
      <w:pPr>
        <w:pStyle w:val="ListParagraph"/>
        <w:numPr>
          <w:ilvl w:val="0"/>
          <w:numId w:val="2"/>
        </w:numPr>
        <w:spacing w:before="0" w:after="100"/>
      </w:pPr>
      <w:r>
        <w:rPr>
          <w:rFonts w:ascii="Helvetica" w:cs="Helvetica" w:eastAsia="Helvetica" w:hAnsi="Helvetica"/>
          <w:color w:val="67441A"/>
          <w:sz w:val="22"/>
          <w:szCs w:val="22"/>
        </w:rPr>
        <w:t xml:space="preserve">Cherub raised ~$2M at a similar stage with ~$50K revenue—Sengo has 4x the revenue and a broader product offering, validating stronger positioning</w:t>
      </w:r>
    </w:p>
    <w:p>
      <w:pPr>
        <w:spacing w:before="240" w:after="40"/>
      </w:pPr>
      <w:r>
        <w:rPr>
          <w:rFonts w:ascii="Montserrat" w:cs="Montserrat" w:eastAsia="Montserrat" w:hAnsi="Montserrat"/>
          <w:b/>
          <w:bCs/>
          <w:color w:val="D57028"/>
          <w:sz w:val="22"/>
          <w:szCs w:val="22"/>
        </w:rPr>
        <w:t xml:space="preserve">Growth Trajectory &amp; Defensibility</w:t>
      </w:r>
    </w:p>
    <w:p>
      <w:pPr>
        <w:pStyle w:val="ListParagraph"/>
        <w:numPr>
          <w:ilvl w:val="0"/>
          <w:numId w:val="2"/>
        </w:numPr>
        <w:spacing w:before="0" w:after="100"/>
      </w:pPr>
      <w:r>
        <w:rPr>
          <w:rFonts w:ascii="Helvetica" w:cs="Helvetica" w:eastAsia="Helvetica" w:hAnsi="Helvetica"/>
          <w:color w:val="67441A"/>
          <w:sz w:val="22"/>
          <w:szCs w:val="22"/>
        </w:rPr>
        <w:t xml:space="preserve">Projected 5.5x revenue growth from 2026–2028 ($217K → $328K → $1.8M)</w:t>
      </w:r>
    </w:p>
    <w:p>
      <w:pPr>
        <w:pStyle w:val="ListParagraph"/>
        <w:numPr>
          <w:ilvl w:val="0"/>
          <w:numId w:val="2"/>
        </w:numPr>
        <w:spacing w:before="0" w:after="100"/>
      </w:pPr>
      <w:r>
        <w:rPr>
          <w:rFonts w:ascii="Helvetica" w:cs="Helvetica" w:eastAsia="Helvetica" w:hAnsi="Helvetica"/>
          <w:color w:val="67441A"/>
          <w:sz w:val="22"/>
          <w:szCs w:val="22"/>
        </w:rPr>
        <w:t xml:space="preserve">Clear path to B2B revenue scale: each sponsor commitment = $10K–$150K ARR with high renewal rates</w:t>
      </w:r>
    </w:p>
    <w:p>
      <w:pPr>
        <w:pStyle w:val="ListParagraph"/>
        <w:numPr>
          <w:ilvl w:val="0"/>
          <w:numId w:val="2"/>
        </w:numPr>
        <w:spacing w:before="0" w:after="100"/>
      </w:pPr>
      <w:r>
        <w:rPr>
          <w:rFonts w:ascii="Helvetica" w:cs="Helvetica" w:eastAsia="Helvetica" w:hAnsi="Helvetica"/>
          <w:color w:val="67441A"/>
          <w:sz w:val="22"/>
          <w:szCs w:val="22"/>
        </w:rPr>
        <w:t xml:space="preserve">Newsletter monetization directly proven at scale by Hello Alice (1M subscribers generating $40M+ valuation impact)</w:t>
      </w:r>
    </w:p>
    <w:p>
      <w:pPr>
        <w:pStyle w:val="ListParagraph"/>
        <w:numPr>
          <w:ilvl w:val="0"/>
          <w:numId w:val="2"/>
        </w:numPr>
        <w:spacing w:before="0" w:after="100"/>
      </w:pPr>
      <w:r>
        <w:rPr>
          <w:rFonts w:ascii="Helvetica" w:cs="Helvetica" w:eastAsia="Helvetica" w:hAnsi="Helvetica"/>
          <w:color w:val="67441A"/>
          <w:sz w:val="22"/>
          <w:szCs w:val="22"/>
        </w:rPr>
        <w:t xml:space="preserve">Community-powered network effect: engaged subscriber base becomes more valuable to enterprise partners over time</w:t>
      </w:r>
    </w:p>
    <w:p>
      <w:pPr>
        <w:spacing w:before="240" w:after="40"/>
      </w:pPr>
      <w:r>
        <w:rPr>
          <w:rFonts w:ascii="Montserrat" w:cs="Montserrat" w:eastAsia="Montserrat" w:hAnsi="Montserrat"/>
          <w:b/>
          <w:bCs/>
          <w:color w:val="D57028"/>
          <w:sz w:val="22"/>
          <w:szCs w:val="22"/>
        </w:rPr>
        <w:t xml:space="preserve">Capital Structure &amp; Risk Mitigation</w:t>
      </w:r>
    </w:p>
    <w:p>
      <w:pPr>
        <w:pStyle w:val="ListParagraph"/>
        <w:numPr>
          <w:ilvl w:val="0"/>
          <w:numId w:val="2"/>
        </w:numPr>
        <w:spacing w:before="0" w:after="100"/>
      </w:pPr>
      <w:r>
        <w:rPr>
          <w:rFonts w:ascii="Helvetica" w:cs="Helvetica" w:eastAsia="Helvetica" w:hAnsi="Helvetica"/>
          <w:color w:val="67441A"/>
          <w:sz w:val="22"/>
          <w:szCs w:val="22"/>
        </w:rPr>
        <w:t xml:space="preserve">Blended SAFE + revenue-based financing (RBF) + CDFI structure reduces investor dilution risk</w:t>
      </w:r>
    </w:p>
    <w:p>
      <w:pPr>
        <w:pStyle w:val="ListParagraph"/>
        <w:numPr>
          <w:ilvl w:val="0"/>
          <w:numId w:val="2"/>
        </w:numPr>
        <w:spacing w:before="0" w:after="100"/>
      </w:pPr>
      <w:r>
        <w:rPr>
          <w:rFonts w:ascii="Helvetica" w:cs="Helvetica" w:eastAsia="Helvetica" w:hAnsi="Helvetica"/>
          <w:color w:val="67441A"/>
          <w:sz w:val="22"/>
          <w:szCs w:val="22"/>
        </w:rPr>
        <w:t xml:space="preserve">RBF component aligns with early revenue traction and removes dilution for bootstrap-first founder</w:t>
      </w:r>
    </w:p>
    <w:p>
      <w:pPr>
        <w:pStyle w:val="ListParagraph"/>
        <w:numPr>
          <w:ilvl w:val="0"/>
          <w:numId w:val="2"/>
        </w:numPr>
        <w:spacing w:before="0" w:after="100"/>
      </w:pPr>
      <w:r>
        <w:rPr>
          <w:rFonts w:ascii="Helvetica" w:cs="Helvetica" w:eastAsia="Helvetica" w:hAnsi="Helvetica"/>
          <w:color w:val="67441A"/>
          <w:sz w:val="22"/>
          <w:szCs w:val="22"/>
        </w:rPr>
        <w:t xml:space="preserve">CDFI investment reflects mission alignment (grant funding to emerging communities) and may offer tax advantages</w:t>
      </w:r>
    </w:p>
    <w:p>
      <w:pPr>
        <w:pStyle w:val="ListParagraph"/>
        <w:numPr>
          <w:ilvl w:val="0"/>
          <w:numId w:val="2"/>
        </w:numPr>
        <w:spacing w:before="0" w:after="100"/>
      </w:pPr>
      <w:r>
        <w:rPr>
          <w:rFonts w:ascii="Helvetica" w:cs="Helvetica" w:eastAsia="Helvetica" w:hAnsi="Helvetica"/>
          <w:color w:val="67441A"/>
          <w:sz w:val="22"/>
          <w:szCs w:val="22"/>
        </w:rPr>
        <w:t xml:space="preserve">Total $500K raise at $4–5M cap preserves founder equity, maintaining incentive alignment for Series A</w:t>
      </w:r>
    </w:p>
    <w:p>
      <w:pPr>
        <w:spacing w:before="240" w:after="40"/>
      </w:pPr>
      <w:r>
        <w:rPr>
          <w:rFonts w:ascii="Montserrat" w:cs="Montserrat" w:eastAsia="Montserrat" w:hAnsi="Montserrat"/>
          <w:b/>
          <w:bCs/>
          <w:color w:val="D57028"/>
          <w:sz w:val="22"/>
          <w:szCs w:val="22"/>
        </w:rPr>
        <w:t xml:space="preserve">Exit Multiple Analysis</w:t>
      </w:r>
    </w:p>
    <w:p>
      <w:pPr>
        <w:spacing w:before="0" w:after="240"/>
        <w:jc w:val="left"/>
      </w:pPr>
      <w:r>
        <w:rPr>
          <w:rFonts w:ascii="Helvetica" w:cs="Helvetica" w:eastAsia="Helvetica" w:hAnsi="Helvetica"/>
          <w:b w:val="false"/>
          <w:bCs w:val="false"/>
          <w:color w:val="67441A"/>
          <w:sz w:val="22"/>
          <w:szCs w:val="22"/>
        </w:rPr>
        <w:t xml:space="preserve">At a 5-year exit horizon (2031), assuming moderate multiples and conservative growth deceleration, a $4–5M pre-seed cap on a $250K SAFE implies approximately 5–6.3% investor equity post-seed. At an 8x revenue multiple exit with $5.5M projected revenue, the valuation reaches $44M—yielding $2.2–2.8M per investor, or 8.8–11x ROI. This is in line with venture return expectations for pre-seed risk.</w:t>
      </w:r>
    </w:p>
    <w:p>
      <w:pPr>
        <w:spacing w:before="300" w:after="0"/>
      </w:pPr>
    </w:p>
    <w:p>
      <w:pPr>
        <w:spacing w:before="360" w:after="60"/>
      </w:pPr>
      <w:r>
        <w:rPr>
          <w:rFonts w:ascii="Arimo" w:cs="Arimo" w:eastAsia="Arimo" w:hAnsi="Arimo"/>
          <w:b/>
          <w:bCs/>
          <w:color w:val="1B3533"/>
          <w:sz w:val="28"/>
          <w:szCs w:val="28"/>
        </w:rPr>
        <w:t xml:space="preserve">6. IMPLIED VALUATION AT EXIT</w:t>
      </w:r>
    </w:p>
    <w:p>
      <w:pPr>
        <w:spacing w:before="0" w:after="180"/>
        <w:jc w:val="left"/>
      </w:pPr>
      <w:r>
        <w:rPr>
          <w:rFonts w:ascii="Helvetica" w:cs="Helvetica" w:eastAsia="Helvetica" w:hAnsi="Helvetica"/>
          <w:b w:val="false"/>
          <w:bCs w:val="false"/>
          <w:color w:val="67441A"/>
          <w:sz w:val="22"/>
          <w:szCs w:val="22"/>
        </w:rPr>
        <w:t xml:space="preserve">The following table projects Sengo's implied valuation under different revenue multiples and growth scenarios. Base case assumes conservative 50% annual growth deceleration after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50"/>
        <w:gridCol w:w="1855"/>
        <w:gridCol w:w="1855"/>
      </w:tblGrid>
      <w:tr>
        <w:trPr>
          <w:trHeight w:val="200" w:hRule="atLeast"/>
        </w:trPr>
        <w:tc>
          <w:tcPr>
            <w:tcW w:type="dxa" w:w="180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t xml:space="preserve">Exit Year</w:t>
            </w:r>
            <w:r>
              <w:rPr>
                <w:rFonts w:ascii="Montserrat" w:cs="Montserrat" w:eastAsia="Montserrat" w:hAnsi="Montserrat"/>
                <w:b/>
                <w:bCs/>
                <w:color w:val="FFFFFF"/>
                <w:sz w:val="20"/>
                <w:szCs w:val="20"/>
              </w:rPr>
            </w:r>
          </w:p>
        </w:tc>
        <w:tc>
          <w:tcPr>
            <w:tcW w:type="dxa" w:w="200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t xml:space="preserve">Proj. Revenue</w:t>
            </w:r>
            <w:r>
              <w:rPr>
                <w:rFonts w:ascii="Montserrat" w:cs="Montserrat" w:eastAsia="Montserrat" w:hAnsi="Montserrat"/>
                <w:b/>
                <w:bCs/>
                <w:color w:val="FFFFFF"/>
                <w:sz w:val="20"/>
                <w:szCs w:val="20"/>
              </w:rPr>
            </w:r>
          </w:p>
        </w:tc>
        <w:tc>
          <w:tcPr>
            <w:tcW w:type="dxa" w:w="1850"/>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t xml:space="preserve">5x Multiple</w:t>
            </w:r>
            <w:r>
              <w:rPr>
                <w:rFonts w:ascii="Montserrat" w:cs="Montserrat" w:eastAsia="Montserrat" w:hAnsi="Montserrat"/>
                <w:b/>
                <w:bCs/>
                <w:color w:val="FFFFFF"/>
                <w:sz w:val="20"/>
                <w:szCs w:val="20"/>
              </w:rPr>
            </w:r>
          </w:p>
        </w:tc>
        <w:tc>
          <w:tcPr>
            <w:tcW w:type="dxa" w:w="1855"/>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t xml:space="preserve">8x Multiple</w:t>
            </w:r>
            <w:r>
              <w:rPr>
                <w:rFonts w:ascii="Montserrat" w:cs="Montserrat" w:eastAsia="Montserrat" w:hAnsi="Montserrat"/>
                <w:b/>
                <w:bCs/>
                <w:color w:val="FFFFFF"/>
                <w:sz w:val="20"/>
                <w:szCs w:val="20"/>
              </w:rPr>
            </w:r>
          </w:p>
        </w:tc>
        <w:tc>
          <w:tcPr>
            <w:tcW w:type="dxa" w:w="1855"/>
            <w:tcBorders>
              <w:top w:val="single" w:color="D4C5B0" w:sz="1"/>
              <w:left w:val="single" w:color="D4C5B0" w:sz="1"/>
              <w:bottom w:val="single" w:color="D4C5B0" w:sz="1"/>
              <w:right w:val="single" w:color="D4C5B0" w:sz="1"/>
            </w:tcBorders>
            <w:shd w:fill="1B3533" w:val="clear"/>
            <w:tcMar>
              <w:top w:type="dxa" w:w="40"/>
              <w:left w:type="dxa" w:w="80"/>
              <w:bottom w:type="dxa" w:w="40"/>
              <w:right w:type="dxa" w:w="80"/>
            </w:tcMar>
          </w:tcPr>
          <w:p>
            <w:r>
              <w:t xml:space="preserve">12x Multiple</w:t>
            </w:r>
            <w:r>
              <w:rPr>
                <w:rFonts w:ascii="Montserrat" w:cs="Montserrat" w:eastAsia="Montserrat" w:hAnsi="Montserrat"/>
                <w:b/>
                <w:bCs/>
                <w:color w:val="FFFFFF"/>
                <w:sz w:val="20"/>
                <w:szCs w:val="20"/>
              </w:rPr>
            </w:r>
          </w:p>
        </w:tc>
      </w:tr>
      <w:tr>
        <w:tc>
          <w:tcPr>
            <w:tcW w:type="dxa" w:w="18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2028</w:t>
            </w:r>
          </w:p>
        </w:tc>
        <w:tc>
          <w:tcPr>
            <w:tcW w:type="dxa" w:w="20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$1.8M</w:t>
            </w:r>
          </w:p>
        </w:tc>
        <w:tc>
          <w:tcPr>
            <w:tcW w:type="dxa" w:w="185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$9.0M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$14.4M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$21.6M</w:t>
            </w:r>
          </w:p>
        </w:tc>
      </w:tr>
      <w:tr>
        <w:tc>
          <w:tcPr>
            <w:tcW w:type="dxa" w:w="18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2029</w:t>
            </w:r>
          </w:p>
        </w:tc>
        <w:tc>
          <w:tcPr>
            <w:tcW w:type="dxa" w:w="20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$2.7M</w:t>
            </w:r>
          </w:p>
        </w:tc>
        <w:tc>
          <w:tcPr>
            <w:tcW w:type="dxa" w:w="185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$13.5M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$21.6M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$32.4M</w:t>
            </w:r>
          </w:p>
        </w:tc>
      </w:tr>
      <w:tr>
        <w:tc>
          <w:tcPr>
            <w:tcW w:type="dxa" w:w="18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2030</w:t>
            </w:r>
          </w:p>
        </w:tc>
        <w:tc>
          <w:tcPr>
            <w:tcW w:type="dxa" w:w="20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$4.0M</w:t>
            </w:r>
          </w:p>
        </w:tc>
        <w:tc>
          <w:tcPr>
            <w:tcW w:type="dxa" w:w="185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$20.0M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$32.0M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$48.0M</w:t>
            </w:r>
          </w:p>
        </w:tc>
      </w:tr>
      <w:tr>
        <w:tc>
          <w:tcPr>
            <w:tcW w:type="dxa" w:w="18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2031</w:t>
            </w:r>
          </w:p>
        </w:tc>
        <w:tc>
          <w:tcPr>
            <w:tcW w:type="dxa" w:w="200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$5.5M</w:t>
            </w:r>
          </w:p>
        </w:tc>
        <w:tc>
          <w:tcPr>
            <w:tcW w:type="dxa" w:w="1850"/>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$27.5M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$44.0M</w:t>
            </w:r>
          </w:p>
        </w:tc>
        <w:tc>
          <w:tcPr>
            <w:tcW w:type="dxa" w:w="1855"/>
            <w:tcBorders>
              <w:top w:val="single" w:color="D4C5B0" w:sz="1"/>
              <w:left w:val="single" w:color="D4C5B0" w:sz="1"/>
              <w:bottom w:val="single" w:color="D4C5B0" w:sz="1"/>
              <w:right w:val="single" w:color="D4C5B0" w:sz="1"/>
            </w:tcBorders>
            <w:tcMar>
              <w:top w:type="dxa" w:w="40"/>
              <w:left w:type="dxa" w:w="80"/>
              <w:bottom w:type="dxa" w:w="40"/>
              <w:right w:type="dxa" w:w="80"/>
            </w:tcMar>
          </w:tcPr>
          <w:p>
            <w:pPr>
              <w:spacing w:before="0" w:after="120"/>
              <w:jc w:val="left"/>
            </w:pPr>
            <w:r>
              <w:rPr>
                <w:rFonts w:ascii="Helvetica" w:cs="Helvetica" w:eastAsia="Helvetica" w:hAnsi="Helvetica"/>
                <w:b w:val="false"/>
                <w:bCs w:val="false"/>
                <w:color w:val="67441A"/>
                <w:sz w:val="20"/>
                <w:szCs w:val="20"/>
              </w:rPr>
              <w:t xml:space="preserve">$66.0M</w:t>
            </w:r>
          </w:p>
        </w:tc>
      </w:tr>
    </w:tbl>
    <w:p>
      <w:pPr>
        <w:spacing w:before="240" w:after="240"/>
        <w:jc w:val="left"/>
      </w:pPr>
      <w:r>
        <w:rPr>
          <w:rFonts w:ascii="Helvetica" w:cs="Helvetica" w:eastAsia="Helvetica" w:hAnsi="Helvetica"/>
          <w:b w:val="false"/>
          <w:bCs w:val="false"/>
          <w:color w:val="67441A"/>
          <w:sz w:val="22"/>
          <w:szCs w:val="22"/>
        </w:rPr>
        <w:t xml:space="preserve">Exit Analysis (2031, 8x Multiple Scenario): At a $44M valuation and 5–6.3% investor equity (from $250K SAFE at $4–5M cap), investor payout = $2.2–2.8M. With a $250K initial investment, this represents 8.8–11x ROI over 7 years. This aligns with venture return benchmarks for pre-seed stage risk.</w:t>
      </w:r>
    </w:p>
    <w:p>
      <w:pPr>
        <w:spacing w:before="600" w:after="0"/>
      </w:pPr>
    </w:p>
    <w:p>
      <w:pPr>
        <w:spacing w:before="360" w:after="60"/>
      </w:pPr>
      <w:r>
        <w:rPr>
          <w:rFonts w:ascii="Arimo" w:cs="Arimo" w:eastAsia="Arimo" w:hAnsi="Arimo"/>
          <w:b/>
          <w:bCs/>
          <w:color w:val="1B3533"/>
          <w:sz w:val="28"/>
          <w:szCs w:val="28"/>
        </w:rPr>
        <w:t xml:space="preserve">SOURCES &amp; METHODOLOGY</w:t>
      </w:r>
    </w:p>
    <w:p>
      <w:pPr>
        <w:spacing w:before="0" w:after="100"/>
        <w:jc w:val="left"/>
      </w:pPr>
      <w:r>
        <w:rPr>
          <w:rFonts w:ascii="Helvetica" w:cs="Helvetica" w:eastAsia="Helvetica" w:hAnsi="Helvetica"/>
          <w:b w:val="false"/>
          <w:bCs w:val="false"/>
          <w:color w:val="67441A"/>
          <w:sz w:val="22"/>
          <w:szCs w:val="22"/>
        </w:rPr>
        <w:t xml:space="preserve">This analysis synthesizes data from multiple sources:</w:t>
      </w:r>
    </w:p>
    <w:p>
      <w:pPr>
        <w:pStyle w:val="ListParagraph"/>
        <w:numPr>
          <w:ilvl w:val="0"/>
          <w:numId w:val="2"/>
        </w:numPr>
        <w:spacing w:before="0" w:after="100"/>
      </w:pPr>
      <w:r>
        <w:rPr>
          <w:rFonts w:ascii="Helvetica" w:cs="Helvetica" w:eastAsia="Helvetica" w:hAnsi="Helvetica"/>
          <w:color w:val="67441A"/>
          <w:sz w:val="22"/>
          <w:szCs w:val="22"/>
        </w:rPr>
        <w:t xml:space="preserve">Crunchbase: Verified funding rounds, valuations, and employee count for Hello Alice, KingsCrowd, DealMaker</w:t>
      </w:r>
    </w:p>
    <w:p>
      <w:pPr>
        <w:pStyle w:val="ListParagraph"/>
        <w:numPr>
          <w:ilvl w:val="0"/>
          <w:numId w:val="2"/>
        </w:numPr>
        <w:spacing w:before="0" w:after="100"/>
      </w:pPr>
      <w:r>
        <w:rPr>
          <w:rFonts w:ascii="Helvetica" w:cs="Helvetica" w:eastAsia="Helvetica" w:hAnsi="Helvetica"/>
          <w:color w:val="67441A"/>
          <w:sz w:val="22"/>
          <w:szCs w:val="22"/>
        </w:rPr>
        <w:t xml:space="preserve">PitchBook: Revenue estimates and growth rates for comparable companies</w:t>
      </w:r>
    </w:p>
    <w:p>
      <w:pPr>
        <w:pStyle w:val="ListParagraph"/>
        <w:numPr>
          <w:ilvl w:val="0"/>
          <w:numId w:val="2"/>
        </w:numPr>
        <w:spacing w:before="0" w:after="100"/>
      </w:pPr>
      <w:r>
        <w:rPr>
          <w:rFonts w:ascii="Helvetica" w:cs="Helvetica" w:eastAsia="Helvetica" w:hAnsi="Helvetica"/>
          <w:color w:val="67441A"/>
          <w:sz w:val="22"/>
          <w:szCs w:val="22"/>
        </w:rPr>
        <w:t xml:space="preserve">KingsCrowd StartEngine Offering Circular: Confirmed $1.7M 2024 revenue and $13.93M post-money valuation</w:t>
      </w:r>
    </w:p>
    <w:p>
      <w:pPr>
        <w:pStyle w:val="ListParagraph"/>
        <w:numPr>
          <w:ilvl w:val="0"/>
          <w:numId w:val="2"/>
        </w:numPr>
        <w:spacing w:before="0" w:after="100"/>
      </w:pPr>
      <w:r>
        <w:rPr>
          <w:rFonts w:ascii="Helvetica" w:cs="Helvetica" w:eastAsia="Helvetica" w:hAnsi="Helvetica"/>
          <w:color w:val="67441A"/>
          <w:sz w:val="22"/>
          <w:szCs w:val="22"/>
        </w:rPr>
        <w:t xml:space="preserve">Hello Alice partnership materials: B2B pricing tiers and community metrics</w:t>
      </w:r>
    </w:p>
    <w:p>
      <w:pPr>
        <w:pStyle w:val="ListParagraph"/>
        <w:numPr>
          <w:ilvl w:val="0"/>
          <w:numId w:val="2"/>
        </w:numPr>
        <w:spacing w:before="0" w:after="100"/>
      </w:pPr>
      <w:r>
        <w:rPr>
          <w:rFonts w:ascii="Helvetica" w:cs="Helvetica" w:eastAsia="Helvetica" w:hAnsi="Helvetica"/>
          <w:color w:val="67441A"/>
          <w:sz w:val="22"/>
          <w:szCs w:val="22"/>
        </w:rPr>
        <w:t xml:space="preserve">DealMaker Press: Platform volume, transaction count, and growth milestones</w:t>
      </w:r>
    </w:p>
    <w:p>
      <w:pPr>
        <w:pStyle w:val="ListParagraph"/>
        <w:numPr>
          <w:ilvl w:val="0"/>
          <w:numId w:val="2"/>
        </w:numPr>
        <w:spacing w:before="0" w:after="100"/>
      </w:pPr>
      <w:r>
        <w:rPr>
          <w:rFonts w:ascii="Helvetica" w:cs="Helvetica" w:eastAsia="Helvetica" w:hAnsi="Helvetica"/>
          <w:color w:val="67441A"/>
          <w:sz w:val="22"/>
          <w:szCs w:val="22"/>
        </w:rPr>
        <w:t xml:space="preserve">Cherub: Crunchbase profile, press coverage (Forbes, TechCrunch), and public founder interviews</w:t>
      </w:r>
    </w:p>
    <w:p>
      <w:pPr>
        <w:pStyle w:val="ListParagraph"/>
        <w:numPr>
          <w:ilvl w:val="0"/>
          <w:numId w:val="2"/>
        </w:numPr>
        <w:spacing w:before="0" w:after="100"/>
      </w:pPr>
      <w:r>
        <w:rPr>
          <w:rFonts w:ascii="Helvetica" w:cs="Helvetica" w:eastAsia="Helvetica" w:hAnsi="Helvetica"/>
          <w:color w:val="67441A"/>
          <w:sz w:val="22"/>
          <w:szCs w:val="22"/>
        </w:rPr>
        <w:t xml:space="preserve">Sengo internal metrics: 2025 actual revenue ($217K), email subscribers (10K+), grant funding ($69.6K), and financial projections</w:t>
      </w:r>
    </w:p>
    <w:p>
      <w:pPr>
        <w:spacing w:before="120" w:after="360"/>
        <w:jc w:val="left"/>
      </w:pPr>
      <w:r>
        <w:rPr>
          <w:rFonts w:ascii="Helvetica" w:cs="Helvetica" w:eastAsia="Helvetica" w:hAnsi="Helvetica"/>
          <w:b w:val="false"/>
          <w:bCs w:val="false"/>
          <w:color w:val="67441A"/>
          <w:sz w:val="22"/>
          <w:szCs w:val="22"/>
        </w:rPr>
        <w:t xml:space="preserve">Revenue multiples sourced from SaaS benchmarking studies (Bessemer Venture Partners, Battery Ventures) and venture transaction databases.</w:t>
      </w:r>
    </w:p>
    <w:p>
      <w:pPr>
        <w:spacing w:before="240" w:after="0"/>
        <w:jc w:val="center"/>
      </w:pPr>
      <w:r>
        <w:rPr>
          <w:rFonts w:ascii="Helvetica" w:cs="Helvetica" w:eastAsia="Helvetica" w:hAnsi="Helvetica"/>
          <w:color w:val="67441A"/>
          <w:sz w:val="20"/>
          <w:szCs w:val="20"/>
        </w:rPr>
        <w:t xml:space="preserve">Prepared for Sengo pre-seed fundraise. Confidential data room document.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2026-03-05T22:52:51.611Z</dcterms:created>
  <dcterms:modified xsi:type="dcterms:W3CDTF">2026-03-05T22:52:51.611Z</dcterms:modified>
</cp:coreProperties>
</file>

<file path=docProps/custom.xml><?xml version="1.0" encoding="utf-8"?>
<Properties xmlns="http://schemas.openxmlformats.org/officeDocument/2006/custom-properties" xmlns:vt="http://schemas.openxmlformats.org/officeDocument/2006/docPropsVTypes"/>
</file>