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5826D">
      <w:pPr>
        <w:jc w:val="center"/>
        <w:outlineLvl w:val="1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bookmarkStart w:id="0" w:name="_Toc31881_WPSOffice_Level2"/>
      <w:bookmarkEnd w:id="0"/>
      <w:bookmarkStart w:id="1" w:name="_Toc26749_WPSOffice_Level1"/>
      <w:bookmarkEnd w:id="1"/>
    </w:p>
    <w:tbl>
      <w:tblPr>
        <w:tblStyle w:val="2"/>
        <w:tblW w:w="99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8"/>
        <w:gridCol w:w="661"/>
        <w:gridCol w:w="758"/>
        <w:gridCol w:w="1398"/>
        <w:gridCol w:w="123"/>
        <w:gridCol w:w="978"/>
        <w:gridCol w:w="149"/>
        <w:gridCol w:w="594"/>
        <w:gridCol w:w="1021"/>
        <w:gridCol w:w="976"/>
        <w:gridCol w:w="266"/>
        <w:gridCol w:w="2085"/>
      </w:tblGrid>
      <w:tr w14:paraId="01873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87" w:hRule="exact"/>
          <w:jc w:val="center"/>
        </w:trPr>
        <w:tc>
          <w:tcPr>
            <w:tcW w:w="2387" w:type="dxa"/>
            <w:gridSpan w:val="3"/>
            <w:vAlign w:val="center"/>
          </w:tcPr>
          <w:p w14:paraId="1BA9722B">
            <w:pPr>
              <w:snapToGrid/>
              <w:spacing w:after="120" w:line="400" w:lineRule="exact"/>
              <w:jc w:val="left"/>
              <w:rPr>
                <w:rFonts w:hint="eastAsia" w:ascii="宋体" w:hAnsi="宋体" w:eastAsia="宋体"/>
                <w:b w:val="0"/>
                <w:i w:val="0"/>
                <w:color w:val="000000"/>
                <w:sz w:val="21"/>
                <w:u w:val="none"/>
                <w:lang w:val="en-US" w:eastAsia="zh-CN"/>
              </w:rPr>
            </w:pPr>
          </w:p>
        </w:tc>
        <w:tc>
          <w:tcPr>
            <w:tcW w:w="1521" w:type="dxa"/>
            <w:gridSpan w:val="2"/>
            <w:vAlign w:val="center"/>
          </w:tcPr>
          <w:p w14:paraId="321D239E">
            <w:pPr>
              <w:snapToGrid/>
              <w:spacing w:after="120" w:line="400" w:lineRule="exact"/>
              <w:jc w:val="left"/>
              <w:rPr>
                <w:rFonts w:hint="eastAsia" w:ascii="宋体" w:hAnsi="宋体"/>
                <w:b w:val="0"/>
                <w:i w:val="0"/>
                <w:color w:val="000000"/>
                <w:sz w:val="21"/>
                <w:szCs w:val="24"/>
                <w:u w:val="none"/>
                <w:lang w:val="en-US" w:eastAsia="zh-CN"/>
              </w:rPr>
            </w:pPr>
          </w:p>
        </w:tc>
        <w:tc>
          <w:tcPr>
            <w:tcW w:w="978" w:type="dxa"/>
            <w:vAlign w:val="center"/>
          </w:tcPr>
          <w:p w14:paraId="0B6908FA">
            <w:pPr>
              <w:snapToGrid/>
              <w:spacing w:after="120" w:line="400" w:lineRule="exact"/>
              <w:jc w:val="left"/>
              <w:rPr>
                <w:rFonts w:hint="eastAsia" w:ascii="宋体" w:hAnsi="宋体" w:eastAsia="宋体"/>
                <w:b w:val="0"/>
                <w:i w:val="0"/>
                <w:color w:val="000000"/>
                <w:sz w:val="21"/>
                <w:u w:val="none"/>
                <w:lang w:val="en-US" w:eastAsia="zh-CN"/>
              </w:rPr>
            </w:pPr>
          </w:p>
        </w:tc>
        <w:tc>
          <w:tcPr>
            <w:tcW w:w="1764" w:type="dxa"/>
            <w:gridSpan w:val="3"/>
            <w:vAlign w:val="center"/>
          </w:tcPr>
          <w:p w14:paraId="2125BE4A">
            <w:pPr>
              <w:snapToGrid/>
              <w:spacing w:after="120" w:line="400" w:lineRule="exact"/>
              <w:jc w:val="left"/>
              <w:rPr>
                <w:rFonts w:hint="eastAsia" w:ascii="宋体" w:hAnsi="宋体"/>
                <w:b w:val="0"/>
                <w:i w:val="0"/>
                <w:color w:val="000000"/>
                <w:sz w:val="21"/>
                <w:szCs w:val="24"/>
                <w:u w:val="none"/>
                <w:lang w:val="en-US" w:eastAsia="zh-CN"/>
              </w:rPr>
            </w:pPr>
          </w:p>
        </w:tc>
        <w:tc>
          <w:tcPr>
            <w:tcW w:w="976" w:type="dxa"/>
            <w:vAlign w:val="center"/>
          </w:tcPr>
          <w:p w14:paraId="2126B59C">
            <w:pPr>
              <w:snapToGrid/>
              <w:spacing w:after="120" w:line="400" w:lineRule="exact"/>
              <w:jc w:val="left"/>
              <w:rPr>
                <w:rFonts w:hint="eastAsia" w:ascii="宋体" w:hAnsi="宋体" w:eastAsia="宋体"/>
                <w:b w:val="0"/>
                <w:i w:val="0"/>
                <w:color w:val="000000"/>
                <w:sz w:val="21"/>
                <w:u w:val="none"/>
                <w:lang w:val="en-US" w:eastAsia="zh-CN"/>
              </w:rPr>
            </w:pPr>
          </w:p>
        </w:tc>
        <w:tc>
          <w:tcPr>
            <w:tcW w:w="2351" w:type="dxa"/>
            <w:gridSpan w:val="2"/>
            <w:vAlign w:val="center"/>
          </w:tcPr>
          <w:p w14:paraId="3CF0EB23">
            <w:pPr>
              <w:snapToGrid/>
              <w:spacing w:after="120" w:line="400" w:lineRule="exact"/>
              <w:jc w:val="left"/>
              <w:rPr>
                <w:rFonts w:hint="eastAsia" w:ascii="宋体" w:hAnsi="宋体"/>
                <w:b w:val="0"/>
                <w:i w:val="0"/>
                <w:color w:val="000000"/>
                <w:sz w:val="21"/>
                <w:szCs w:val="24"/>
                <w:u w:val="none"/>
                <w:lang w:val="en-US" w:eastAsia="zh-CN"/>
              </w:rPr>
            </w:pPr>
          </w:p>
        </w:tc>
      </w:tr>
      <w:tr w14:paraId="31C99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  <w:jc w:val="center"/>
        </w:trPr>
        <w:tc>
          <w:tcPr>
            <w:tcW w:w="2387" w:type="dxa"/>
            <w:gridSpan w:val="3"/>
            <w:vAlign w:val="center"/>
          </w:tcPr>
          <w:p w14:paraId="35C5611E">
            <w:pPr>
              <w:snapToGrid/>
              <w:spacing w:after="120" w:line="400" w:lineRule="exact"/>
              <w:jc w:val="left"/>
              <w:rPr>
                <w:rFonts w:hint="eastAsia" w:ascii="宋体" w:hAnsi="宋体" w:eastAsia="宋体"/>
                <w:b w:val="0"/>
                <w:i w:val="0"/>
                <w:color w:val="000000"/>
                <w:sz w:val="21"/>
                <w:u w:val="none"/>
              </w:rPr>
            </w:pPr>
          </w:p>
        </w:tc>
        <w:tc>
          <w:tcPr>
            <w:tcW w:w="1521" w:type="dxa"/>
            <w:gridSpan w:val="2"/>
            <w:vAlign w:val="center"/>
          </w:tcPr>
          <w:p w14:paraId="01265502">
            <w:pPr>
              <w:snapToGrid/>
              <w:spacing w:after="120" w:line="400" w:lineRule="exact"/>
              <w:jc w:val="left"/>
              <w:rPr>
                <w:rFonts w:hint="eastAsia" w:ascii="宋体" w:hAnsi="宋体"/>
                <w:b w:val="0"/>
                <w:i w:val="0"/>
                <w:color w:val="000000"/>
                <w:sz w:val="21"/>
                <w:szCs w:val="24"/>
                <w:u w:val="none"/>
                <w:lang w:val="en-US" w:eastAsia="zh-CN"/>
              </w:rPr>
            </w:pPr>
          </w:p>
        </w:tc>
        <w:tc>
          <w:tcPr>
            <w:tcW w:w="978" w:type="dxa"/>
            <w:vAlign w:val="center"/>
          </w:tcPr>
          <w:p w14:paraId="7956DD63">
            <w:pPr>
              <w:snapToGrid/>
              <w:spacing w:after="120" w:line="400" w:lineRule="exact"/>
              <w:jc w:val="left"/>
              <w:rPr>
                <w:rFonts w:hint="eastAsia" w:ascii="宋体" w:hAnsi="宋体" w:eastAsia="宋体"/>
                <w:b w:val="0"/>
                <w:i w:val="0"/>
                <w:color w:val="000000"/>
                <w:sz w:val="21"/>
                <w:u w:val="none"/>
              </w:rPr>
            </w:pPr>
          </w:p>
        </w:tc>
        <w:tc>
          <w:tcPr>
            <w:tcW w:w="1764" w:type="dxa"/>
            <w:gridSpan w:val="3"/>
            <w:vAlign w:val="center"/>
          </w:tcPr>
          <w:p w14:paraId="21DA52D0">
            <w:pPr>
              <w:snapToGrid/>
              <w:spacing w:after="120" w:line="400" w:lineRule="exact"/>
              <w:jc w:val="left"/>
              <w:rPr>
                <w:rFonts w:hint="eastAsia" w:ascii="宋体" w:hAnsi="宋体"/>
                <w:b w:val="0"/>
                <w:i w:val="0"/>
                <w:color w:val="000000"/>
                <w:sz w:val="21"/>
                <w:szCs w:val="24"/>
                <w:u w:val="none"/>
                <w:lang w:val="en-US" w:eastAsia="zh-CN"/>
              </w:rPr>
            </w:pPr>
          </w:p>
        </w:tc>
        <w:tc>
          <w:tcPr>
            <w:tcW w:w="976" w:type="dxa"/>
            <w:vAlign w:val="center"/>
          </w:tcPr>
          <w:p w14:paraId="039613D4">
            <w:pPr>
              <w:snapToGrid/>
              <w:spacing w:after="120" w:line="400" w:lineRule="exact"/>
              <w:jc w:val="left"/>
              <w:rPr>
                <w:rFonts w:hint="eastAsia" w:ascii="宋体" w:hAnsi="宋体" w:eastAsia="宋体"/>
                <w:b w:val="0"/>
                <w:i w:val="0"/>
                <w:color w:val="000000"/>
                <w:sz w:val="21"/>
                <w:u w:val="none"/>
              </w:rPr>
            </w:pPr>
          </w:p>
        </w:tc>
        <w:tc>
          <w:tcPr>
            <w:tcW w:w="2351" w:type="dxa"/>
            <w:gridSpan w:val="2"/>
            <w:vAlign w:val="center"/>
          </w:tcPr>
          <w:p w14:paraId="4FC4CDCB">
            <w:pPr>
              <w:snapToGrid/>
              <w:spacing w:after="120" w:line="400" w:lineRule="exact"/>
              <w:jc w:val="left"/>
              <w:rPr>
                <w:rFonts w:hint="eastAsia" w:ascii="宋体" w:hAnsi="宋体"/>
                <w:b w:val="0"/>
                <w:i w:val="0"/>
                <w:color w:val="000000"/>
                <w:sz w:val="21"/>
                <w:u w:val="none"/>
                <w:lang w:val="en-US" w:eastAsia="zh-CN"/>
              </w:rPr>
            </w:pPr>
          </w:p>
        </w:tc>
      </w:tr>
      <w:tr w14:paraId="67945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  <w:jc w:val="center"/>
        </w:trPr>
        <w:tc>
          <w:tcPr>
            <w:tcW w:w="2387" w:type="dxa"/>
            <w:gridSpan w:val="3"/>
            <w:vAlign w:val="center"/>
          </w:tcPr>
          <w:p w14:paraId="3D42D994">
            <w:pPr>
              <w:snapToGrid/>
              <w:spacing w:after="120" w:line="400" w:lineRule="exact"/>
              <w:rPr>
                <w:rFonts w:hint="eastAsia" w:ascii="宋体" w:hAnsi="宋体" w:eastAsia="宋体"/>
                <w:b w:val="0"/>
                <w:bCs/>
                <w:sz w:val="22"/>
              </w:rPr>
            </w:pPr>
            <w:r>
              <w:rPr>
                <w:rFonts w:hint="eastAsia" w:ascii="宋体" w:hAnsi="宋体" w:eastAsia="宋体"/>
                <w:b w:val="0"/>
                <w:bCs/>
                <w:sz w:val="22"/>
              </w:rPr>
              <w:t>毕业论文（设计）题目</w:t>
            </w:r>
          </w:p>
        </w:tc>
        <w:tc>
          <w:tcPr>
            <w:tcW w:w="7590" w:type="dxa"/>
            <w:gridSpan w:val="9"/>
            <w:vAlign w:val="center"/>
          </w:tcPr>
          <w:p w14:paraId="4910A9B4">
            <w:pPr>
              <w:snapToGrid/>
              <w:spacing w:after="120" w:line="360" w:lineRule="auto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基于Hive的成都市网约车数据离线数仓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可视化</w:t>
            </w:r>
          </w:p>
        </w:tc>
      </w:tr>
      <w:tr w14:paraId="234384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2387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AA3D9E1">
            <w:pPr>
              <w:snapToGrid w:val="0"/>
              <w:ind w:left="415" w:hanging="415" w:hangingChars="173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毕业</w:t>
            </w:r>
            <w:r>
              <w:rPr>
                <w:rFonts w:hint="eastAsia"/>
                <w:sz w:val="24"/>
              </w:rPr>
              <w:t>论文（设计）</w:t>
            </w:r>
          </w:p>
          <w:p w14:paraId="0F0348E6">
            <w:pPr>
              <w:snapToGrid w:val="0"/>
              <w:ind w:left="415" w:hanging="415" w:hangingChars="17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的主要</w:t>
            </w:r>
            <w:r>
              <w:rPr>
                <w:rFonts w:hint="eastAsia"/>
                <w:sz w:val="24"/>
                <w:lang w:val="en-US" w:eastAsia="zh-CN"/>
              </w:rPr>
              <w:t>任务</w:t>
            </w:r>
            <w:r>
              <w:rPr>
                <w:rFonts w:hint="eastAsia"/>
                <w:sz w:val="24"/>
              </w:rPr>
              <w:t>与要求</w:t>
            </w:r>
          </w:p>
        </w:tc>
        <w:tc>
          <w:tcPr>
            <w:tcW w:w="7590" w:type="dxa"/>
            <w:gridSpan w:val="9"/>
            <w:noWrap/>
            <w:vAlign w:val="center"/>
          </w:tcPr>
          <w:p w14:paraId="72F85F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任务：</w:t>
            </w:r>
          </w:p>
          <w:p w14:paraId="78B0A8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数据获取：</w:t>
            </w:r>
            <w:r>
              <w:rPr>
                <w:sz w:val="24"/>
                <w:lang w:val="en-US" w:eastAsia="zh-CN"/>
              </w:rPr>
              <w:t>运用网络爬虫、数据库连接等技术，从</w:t>
            </w:r>
            <w:r>
              <w:rPr>
                <w:rFonts w:hint="eastAsia"/>
                <w:sz w:val="24"/>
                <w:lang w:val="en-US" w:eastAsia="zh-CN"/>
              </w:rPr>
              <w:t>滴滴打车</w:t>
            </w:r>
            <w:r>
              <w:rPr>
                <w:sz w:val="24"/>
                <w:lang w:val="en-US" w:eastAsia="zh-CN"/>
              </w:rPr>
              <w:t>网站数据库、用户行为日志及第三方数据平台采集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，也可通过滴滴盖亚数据开放计划</w:t>
            </w:r>
          </w:p>
          <w:p w14:paraId="091B3E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、</w:t>
            </w:r>
            <w:bookmarkStart w:id="2" w:name="_GoBack"/>
            <w:bookmarkEnd w:id="2"/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天池大赛或者Kaggle平台等查找获取数据。预期获取超过上万条数据，且数据要足够全面。</w:t>
            </w:r>
          </w:p>
          <w:p w14:paraId="292CC7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技术栈的调研：使用Hive在于其适合结构化数据的离线分析和长期存储，优势在于稳定性和成本；使用Datax在于其可以支持异构数据源之间的离线数据迁移进行多数据源同步、高性能传输，可以将已经整理好的数据从</w:t>
            </w:r>
            <w:r>
              <w:rPr>
                <w:rFonts w:hint="eastAsia" w:ascii="宋体" w:hAnsi="宋体" w:eastAsia="宋体"/>
                <w:i w:val="0"/>
                <w:iCs w:val="0"/>
                <w:color w:val="404040"/>
                <w:spacing w:val="0"/>
                <w:sz w:val="24"/>
                <w:szCs w:val="24"/>
                <w:shd w:val="clear" w:color="auto" w:fill="FFFFFF"/>
              </w:rPr>
              <w:t>Hive</w:t>
            </w:r>
            <w:r>
              <w:rPr>
                <w:rFonts w:hint="eastAsia" w:ascii="宋体" w:hAnsi="宋体"/>
                <w:i w:val="0"/>
                <w:iCs w:val="0"/>
                <w:color w:val="40404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导出到</w:t>
            </w:r>
            <w:r>
              <w:rPr>
                <w:rFonts w:hint="eastAsia" w:ascii="宋体" w:hAnsi="宋体" w:eastAsia="宋体"/>
                <w:i w:val="0"/>
                <w:iCs w:val="0"/>
                <w:color w:val="404040"/>
                <w:spacing w:val="0"/>
                <w:sz w:val="24"/>
                <w:szCs w:val="24"/>
                <w:shd w:val="clear" w:color="auto" w:fill="FFFFFF"/>
              </w:rPr>
              <w:t>MySQL</w:t>
            </w:r>
            <w:r>
              <w:rPr>
                <w:rFonts w:hint="eastAsia" w:ascii="宋体" w:hAnsi="宋体"/>
                <w:i w:val="0"/>
                <w:iCs w:val="0"/>
                <w:color w:val="40404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中；FineBI则支持多维度数据透视，简单易用。</w:t>
            </w:r>
          </w:p>
          <w:p w14:paraId="73C4CD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数据处理：通过数据清洗，去重，</w:t>
            </w:r>
            <w:r>
              <w:rPr>
                <w:rFonts w:hint="eastAsia" w:ascii="宋体" w:hAnsi="宋体" w:eastAsia="宋体"/>
                <w:sz w:val="24"/>
                <w:szCs w:val="20"/>
                <w:lang w:val="en-US" w:eastAsia="zh-CN"/>
              </w:rPr>
              <w:t>异常值过滤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等，整合梳理好数据，也可优化添加其他相关因素的数据，为研究做好足够准备。</w:t>
            </w:r>
          </w:p>
          <w:p w14:paraId="1AE0A2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离线数仓的分层建模：针对于数据</w:t>
            </w:r>
            <w:r>
              <w:rPr>
                <w:rFonts w:hint="eastAsia" w:ascii="宋体" w:hAnsi="宋体" w:eastAsia="宋体"/>
                <w:sz w:val="24"/>
                <w:szCs w:val="20"/>
                <w:lang w:val="en-US" w:eastAsia="zh-CN"/>
              </w:rPr>
              <w:t>建立ODS、DW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D、DWS、ADS四</w:t>
            </w:r>
            <w:r>
              <w:rPr>
                <w:rFonts w:hint="eastAsia" w:ascii="宋体" w:hAnsi="宋体" w:eastAsia="宋体"/>
                <w:sz w:val="24"/>
                <w:szCs w:val="20"/>
                <w:lang w:val="en-US" w:eastAsia="zh-CN"/>
              </w:rPr>
              <w:t>层数仓结构，进行原始数据的存储、数据清洗与转换、数据聚合汇总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 xml:space="preserve">。 </w:t>
            </w:r>
          </w:p>
          <w:p w14:paraId="6C5833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数据可视化展示：通过早晚高峰潮汐通勤、热点区域分布、分析空驶率、供需匹配度等多维度进行可视化，将结果以图表形式展现出来。</w:t>
            </w:r>
          </w:p>
          <w:p w14:paraId="6B494155">
            <w:pPr>
              <w:snapToGrid w:val="0"/>
              <w:ind w:left="415" w:hanging="415" w:hangingChars="173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论文撰写：</w:t>
            </w:r>
          </w:p>
          <w:p w14:paraId="2BC642AE">
            <w:pPr>
              <w:snapToGrid w:val="0"/>
              <w:ind w:left="415" w:hanging="415" w:hangingChars="173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绪论（研究背景、现状、目标）</w:t>
            </w:r>
          </w:p>
          <w:p w14:paraId="13AF3DC9">
            <w:pPr>
              <w:snapToGrid w:val="0"/>
              <w:ind w:left="415" w:hanging="415" w:hangingChars="173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数据处理与</w:t>
            </w:r>
            <w:r>
              <w:rPr>
                <w:rFonts w:hint="eastAsia"/>
                <w:sz w:val="24"/>
                <w:lang w:val="en-US" w:eastAsia="zh-CN"/>
              </w:rPr>
              <w:t>数</w:t>
            </w:r>
            <w:r>
              <w:rPr>
                <w:sz w:val="24"/>
                <w:lang w:val="en-US" w:eastAsia="zh-CN"/>
              </w:rPr>
              <w:t>仓构建</w:t>
            </w:r>
          </w:p>
          <w:p w14:paraId="34BD1ED6">
            <w:pPr>
              <w:snapToGrid w:val="0"/>
              <w:ind w:left="415" w:hanging="415" w:hangingChars="173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数据分析模型构建与应用</w:t>
            </w:r>
          </w:p>
          <w:p w14:paraId="1DF0D91B">
            <w:pPr>
              <w:snapToGrid w:val="0"/>
              <w:ind w:left="415" w:hanging="415" w:hangingChars="173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数据可视化设计与实现</w:t>
            </w:r>
          </w:p>
          <w:p w14:paraId="35A8868A">
            <w:pPr>
              <w:snapToGrid w:val="0"/>
              <w:ind w:left="415" w:hanging="415" w:hangingChars="173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总结与展望</w:t>
            </w:r>
            <w:r>
              <w:rPr>
                <w:rFonts w:hint="eastAsia"/>
                <w:sz w:val="24"/>
                <w:lang w:val="en-US" w:eastAsia="zh-CN"/>
              </w:rPr>
              <w:t>等</w:t>
            </w:r>
          </w:p>
          <w:p w14:paraId="6578B8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ascii="宋体" w:hAnsi="宋体"/>
                <w:sz w:val="24"/>
                <w:szCs w:val="20"/>
                <w:lang w:val="en-US" w:eastAsia="zh-CN"/>
              </w:rPr>
            </w:pPr>
          </w:p>
          <w:p w14:paraId="7FCA2D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要求：</w:t>
            </w:r>
          </w:p>
          <w:p w14:paraId="0279CF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数据方面：获取数据的数据量要足够支撑研究，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预期获取超过上万条数据，且数据要足够全面且数据要具有准确性，完整性，一致性；</w:t>
            </w:r>
          </w:p>
          <w:p w14:paraId="036DE8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数仓构建：分层清晰，按照标准的构建方法进行构建；</w:t>
            </w:r>
          </w:p>
          <w:p w14:paraId="386FD2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技术方面：要求多种技术栈进行结合，共同实现研究；</w:t>
            </w:r>
          </w:p>
          <w:p w14:paraId="5E47527B">
            <w:pPr>
              <w:snapToGrid w:val="0"/>
              <w:ind w:left="415" w:hanging="415" w:hangingChars="173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论文</w:t>
            </w:r>
            <w:r>
              <w:rPr>
                <w:rFonts w:hint="eastAsia"/>
                <w:sz w:val="24"/>
                <w:lang w:val="en-US" w:eastAsia="zh-CN"/>
              </w:rPr>
              <w:t>方面</w:t>
            </w:r>
            <w:r>
              <w:rPr>
                <w:sz w:val="24"/>
                <w:lang w:val="en-US" w:eastAsia="zh-CN"/>
              </w:rPr>
              <w:t>：符合学术规范，查重率低于 20%，图表编号连续，参考文献不少于 15 篇（含 2 篇外文、2 篇近 2 年文献）。</w:t>
            </w:r>
          </w:p>
          <w:p w14:paraId="7E8299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hint="eastAsia"/>
                <w:sz w:val="24"/>
                <w:lang w:val="en-US" w:eastAsia="zh-CN"/>
              </w:rPr>
            </w:pPr>
          </w:p>
          <w:p w14:paraId="6094B8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ind w:left="0" w:firstLine="0" w:firstLineChars="0"/>
              <w:jc w:val="left"/>
              <w:rPr>
                <w:rFonts w:eastAsia="宋体"/>
                <w:sz w:val="24"/>
                <w:lang w:val="en-US" w:eastAsia="zh-CN"/>
              </w:rPr>
            </w:pPr>
          </w:p>
          <w:p w14:paraId="08DE3E92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0FCCFF2B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45529947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55390FBC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3D132F71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4BD55DA0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5472D298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46CEE0B7">
            <w:pPr>
              <w:snapToGrid w:val="0"/>
              <w:ind w:left="415" w:hanging="415" w:hangingChars="173"/>
              <w:rPr>
                <w:sz w:val="24"/>
              </w:rPr>
            </w:pPr>
          </w:p>
          <w:p w14:paraId="4E5F8903">
            <w:pPr>
              <w:snapToGrid w:val="0"/>
              <w:ind w:left="415" w:hanging="415" w:hangingChars="173"/>
              <w:rPr>
                <w:sz w:val="24"/>
              </w:rPr>
            </w:pPr>
          </w:p>
        </w:tc>
      </w:tr>
      <w:tr w14:paraId="4688759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  <w:jc w:val="center"/>
        </w:trPr>
        <w:tc>
          <w:tcPr>
            <w:tcW w:w="968" w:type="dxa"/>
            <w:vMerge w:val="restart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F24DC4F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进度</w:t>
            </w:r>
          </w:p>
          <w:p w14:paraId="2CC0AD5C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安排</w:t>
            </w:r>
          </w:p>
        </w:tc>
        <w:tc>
          <w:tcPr>
            <w:tcW w:w="661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F1E1F3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156" w:type="dxa"/>
            <w:gridSpan w:val="2"/>
            <w:noWrap/>
            <w:vAlign w:val="center"/>
          </w:tcPr>
          <w:p w14:paraId="6B983760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工作任务</w:t>
            </w:r>
          </w:p>
        </w:tc>
        <w:tc>
          <w:tcPr>
            <w:tcW w:w="1250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5ADC8E7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594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787E68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263" w:type="dxa"/>
            <w:gridSpan w:val="3"/>
            <w:noWrap/>
            <w:vAlign w:val="center"/>
          </w:tcPr>
          <w:p w14:paraId="5E0336AF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工作任务</w:t>
            </w:r>
          </w:p>
        </w:tc>
        <w:tc>
          <w:tcPr>
            <w:tcW w:w="2085" w:type="dxa"/>
            <w:noWrap/>
            <w:vAlign w:val="center"/>
          </w:tcPr>
          <w:p w14:paraId="5EE4D640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</w:tr>
      <w:tr w14:paraId="509936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9" w:hRule="atLeast"/>
          <w:jc w:val="center"/>
        </w:trPr>
        <w:tc>
          <w:tcPr>
            <w:tcW w:w="968" w:type="dxa"/>
            <w:vMerge w:val="continue"/>
            <w:noWrap/>
            <w:vAlign w:val="center"/>
          </w:tcPr>
          <w:p w14:paraId="6A1D99F6">
            <w:pPr>
              <w:widowControl/>
              <w:snapToGrid w:val="0"/>
              <w:jc w:val="left"/>
              <w:rPr>
                <w:sz w:val="24"/>
              </w:rPr>
            </w:pPr>
          </w:p>
        </w:tc>
        <w:tc>
          <w:tcPr>
            <w:tcW w:w="661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E613C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56" w:type="dxa"/>
            <w:gridSpan w:val="2"/>
            <w:noWrap/>
            <w:vAlign w:val="center"/>
          </w:tcPr>
          <w:p w14:paraId="395949D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确定论文题目及指导老师</w:t>
            </w:r>
          </w:p>
        </w:tc>
        <w:tc>
          <w:tcPr>
            <w:tcW w:w="1250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1C14D5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4 月 7 日 - 2025 年 4 月 27 日</w:t>
            </w:r>
          </w:p>
        </w:tc>
        <w:tc>
          <w:tcPr>
            <w:tcW w:w="594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B1F0F1">
            <w:pPr>
              <w:snapToGrid w:val="0"/>
              <w:jc w:val="center"/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263" w:type="dxa"/>
            <w:gridSpan w:val="3"/>
            <w:noWrap/>
            <w:vAlign w:val="center"/>
          </w:tcPr>
          <w:p w14:paraId="77B9FEC9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定稿提交</w:t>
            </w:r>
          </w:p>
        </w:tc>
        <w:tc>
          <w:tcPr>
            <w:tcW w:w="2085" w:type="dxa"/>
            <w:noWrap/>
            <w:vAlign w:val="center"/>
          </w:tcPr>
          <w:p w14:paraId="6F8FD95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9 月 29 日 - 2025 年 10 月 12 日</w:t>
            </w:r>
          </w:p>
        </w:tc>
      </w:tr>
      <w:tr w14:paraId="0E9302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9" w:hRule="atLeast"/>
          <w:jc w:val="center"/>
        </w:trPr>
        <w:tc>
          <w:tcPr>
            <w:tcW w:w="968" w:type="dxa"/>
            <w:vMerge w:val="continue"/>
            <w:noWrap/>
            <w:vAlign w:val="center"/>
          </w:tcPr>
          <w:p w14:paraId="716068EB">
            <w:pPr>
              <w:widowControl/>
              <w:snapToGrid w:val="0"/>
              <w:jc w:val="left"/>
              <w:rPr>
                <w:sz w:val="24"/>
              </w:rPr>
            </w:pPr>
          </w:p>
        </w:tc>
        <w:tc>
          <w:tcPr>
            <w:tcW w:w="661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9D244C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56" w:type="dxa"/>
            <w:gridSpan w:val="2"/>
            <w:noWrap/>
            <w:vAlign w:val="center"/>
          </w:tcPr>
          <w:p w14:paraId="3895C06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收集文献，撰写开题报告、任务书并提交</w:t>
            </w:r>
          </w:p>
        </w:tc>
        <w:tc>
          <w:tcPr>
            <w:tcW w:w="1250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A2525C6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4 月 28 日 - 2025 年 5 月 18 日</w:t>
            </w:r>
          </w:p>
        </w:tc>
        <w:tc>
          <w:tcPr>
            <w:tcW w:w="594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6E0F35">
            <w:pPr>
              <w:snapToGrid w:val="0"/>
              <w:jc w:val="center"/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263" w:type="dxa"/>
            <w:gridSpan w:val="3"/>
            <w:noWrap/>
            <w:vAlign w:val="center"/>
          </w:tcPr>
          <w:p w14:paraId="3FC4297F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论文评阅</w:t>
            </w:r>
          </w:p>
        </w:tc>
        <w:tc>
          <w:tcPr>
            <w:tcW w:w="2085" w:type="dxa"/>
            <w:noWrap/>
            <w:vAlign w:val="center"/>
          </w:tcPr>
          <w:p w14:paraId="7883EF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10 月 13 日 - 2025 年 10 月 19 日</w:t>
            </w:r>
          </w:p>
        </w:tc>
      </w:tr>
      <w:tr w14:paraId="5A9D76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9" w:hRule="atLeast"/>
          <w:jc w:val="center"/>
        </w:trPr>
        <w:tc>
          <w:tcPr>
            <w:tcW w:w="968" w:type="dxa"/>
            <w:vMerge w:val="continue"/>
            <w:noWrap/>
            <w:vAlign w:val="center"/>
          </w:tcPr>
          <w:p w14:paraId="3CD62BBC">
            <w:pPr>
              <w:widowControl/>
              <w:snapToGrid w:val="0"/>
              <w:jc w:val="left"/>
              <w:rPr>
                <w:sz w:val="24"/>
              </w:rPr>
            </w:pPr>
          </w:p>
        </w:tc>
        <w:tc>
          <w:tcPr>
            <w:tcW w:w="661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AC3BD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56" w:type="dxa"/>
            <w:gridSpan w:val="2"/>
            <w:noWrap/>
            <w:vAlign w:val="center"/>
          </w:tcPr>
          <w:p w14:paraId="47DFB7D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开题答辩</w:t>
            </w:r>
          </w:p>
        </w:tc>
        <w:tc>
          <w:tcPr>
            <w:tcW w:w="1250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A6FCAB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5 月 19 日 - 2025 年 5 月 25 日</w:t>
            </w:r>
          </w:p>
        </w:tc>
        <w:tc>
          <w:tcPr>
            <w:tcW w:w="594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86662F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2263" w:type="dxa"/>
            <w:gridSpan w:val="3"/>
            <w:noWrap/>
            <w:vAlign w:val="center"/>
          </w:tcPr>
          <w:p w14:paraId="32FC5ED1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论文答辩</w:t>
            </w:r>
          </w:p>
        </w:tc>
        <w:tc>
          <w:tcPr>
            <w:tcW w:w="2085" w:type="dxa"/>
            <w:noWrap/>
            <w:vAlign w:val="center"/>
          </w:tcPr>
          <w:p w14:paraId="14ECA31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10 月 20 日 - 2025 年 10 月 26 日</w:t>
            </w:r>
          </w:p>
        </w:tc>
      </w:tr>
      <w:tr w14:paraId="01E2E1A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9" w:hRule="atLeast"/>
          <w:jc w:val="center"/>
        </w:trPr>
        <w:tc>
          <w:tcPr>
            <w:tcW w:w="968" w:type="dxa"/>
            <w:vMerge w:val="continue"/>
            <w:noWrap/>
            <w:vAlign w:val="center"/>
          </w:tcPr>
          <w:p w14:paraId="19654A67">
            <w:pPr>
              <w:widowControl/>
              <w:snapToGrid w:val="0"/>
              <w:jc w:val="left"/>
              <w:rPr>
                <w:sz w:val="24"/>
              </w:rPr>
            </w:pPr>
          </w:p>
        </w:tc>
        <w:tc>
          <w:tcPr>
            <w:tcW w:w="661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4848B0C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56" w:type="dxa"/>
            <w:gridSpan w:val="2"/>
            <w:noWrap/>
            <w:vAlign w:val="center"/>
          </w:tcPr>
          <w:p w14:paraId="6AFA542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完成一稿撰写</w:t>
            </w:r>
          </w:p>
        </w:tc>
        <w:tc>
          <w:tcPr>
            <w:tcW w:w="1250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0B9F96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5 月 26 日 - 2025 年 6 月 29 日</w:t>
            </w:r>
          </w:p>
        </w:tc>
        <w:tc>
          <w:tcPr>
            <w:tcW w:w="594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AE4D77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2263" w:type="dxa"/>
            <w:gridSpan w:val="3"/>
            <w:noWrap/>
            <w:vAlign w:val="center"/>
          </w:tcPr>
          <w:p w14:paraId="7E1DBE32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终稿提交</w:t>
            </w:r>
          </w:p>
        </w:tc>
        <w:tc>
          <w:tcPr>
            <w:tcW w:w="2085" w:type="dxa"/>
            <w:noWrap/>
            <w:vAlign w:val="center"/>
          </w:tcPr>
          <w:p w14:paraId="2D5FCAE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10 月 27 日 - 2025 年 11 月 2 日</w:t>
            </w:r>
          </w:p>
        </w:tc>
      </w:tr>
      <w:tr w14:paraId="21628F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36" w:hRule="atLeast"/>
          <w:jc w:val="center"/>
        </w:trPr>
        <w:tc>
          <w:tcPr>
            <w:tcW w:w="968" w:type="dxa"/>
            <w:vMerge w:val="continue"/>
            <w:noWrap/>
            <w:vAlign w:val="center"/>
          </w:tcPr>
          <w:p w14:paraId="4FDB0A09">
            <w:pPr>
              <w:widowControl/>
              <w:snapToGrid w:val="0"/>
              <w:jc w:val="left"/>
              <w:rPr>
                <w:sz w:val="24"/>
              </w:rPr>
            </w:pPr>
          </w:p>
        </w:tc>
        <w:tc>
          <w:tcPr>
            <w:tcW w:w="661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4B0994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5 </w:t>
            </w:r>
          </w:p>
        </w:tc>
        <w:tc>
          <w:tcPr>
            <w:tcW w:w="2156" w:type="dxa"/>
            <w:gridSpan w:val="2"/>
            <w:noWrap/>
            <w:vAlign w:val="center"/>
          </w:tcPr>
          <w:p w14:paraId="768C5B45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课题研究与二稿修改</w:t>
            </w:r>
          </w:p>
        </w:tc>
        <w:tc>
          <w:tcPr>
            <w:tcW w:w="1250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8075955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6 月 30 日 - 2025 年 9 月 21 日</w:t>
            </w:r>
          </w:p>
        </w:tc>
        <w:tc>
          <w:tcPr>
            <w:tcW w:w="594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E1B09F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</w:t>
            </w:r>
          </w:p>
        </w:tc>
        <w:tc>
          <w:tcPr>
            <w:tcW w:w="2263" w:type="dxa"/>
            <w:gridSpan w:val="3"/>
            <w:noWrap/>
            <w:vAlign w:val="center"/>
          </w:tcPr>
          <w:p w14:paraId="6A21FBF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二次答辩及学校审查</w:t>
            </w:r>
          </w:p>
        </w:tc>
        <w:tc>
          <w:tcPr>
            <w:tcW w:w="2085" w:type="dxa"/>
            <w:noWrap/>
            <w:vAlign w:val="center"/>
          </w:tcPr>
          <w:p w14:paraId="7B4EB3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11 月 2 日以后</w:t>
            </w:r>
          </w:p>
        </w:tc>
      </w:tr>
      <w:tr w14:paraId="35B7E7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151" w:hRule="atLeast"/>
          <w:jc w:val="center"/>
        </w:trPr>
        <w:tc>
          <w:tcPr>
            <w:tcW w:w="968" w:type="dxa"/>
            <w:vMerge w:val="continue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E32EEC">
            <w:pPr>
              <w:widowControl/>
              <w:snapToGrid w:val="0"/>
              <w:jc w:val="left"/>
              <w:rPr>
                <w:sz w:val="24"/>
              </w:rPr>
            </w:pPr>
          </w:p>
        </w:tc>
        <w:tc>
          <w:tcPr>
            <w:tcW w:w="661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F7EFBCA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2156" w:type="dxa"/>
            <w:gridSpan w:val="2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350E3E1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中期检查</w:t>
            </w:r>
          </w:p>
        </w:tc>
        <w:tc>
          <w:tcPr>
            <w:tcW w:w="1250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DFEE15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2025 年 9 月 22 日 - 2025 年 9 月 28 日</w:t>
            </w:r>
          </w:p>
        </w:tc>
        <w:tc>
          <w:tcPr>
            <w:tcW w:w="594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5FDC722">
            <w:pPr>
              <w:snapToGrid w:val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2263" w:type="dxa"/>
            <w:gridSpan w:val="3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DC9769">
            <w:pPr>
              <w:snapToGrid w:val="0"/>
              <w:jc w:val="center"/>
            </w:pPr>
          </w:p>
        </w:tc>
        <w:tc>
          <w:tcPr>
            <w:tcW w:w="2085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5076C9">
            <w:pPr>
              <w:snapToGrid w:val="0"/>
              <w:jc w:val="center"/>
              <w:rPr>
                <w:sz w:val="24"/>
              </w:rPr>
            </w:pPr>
          </w:p>
        </w:tc>
      </w:tr>
    </w:tbl>
    <w:p w14:paraId="1BF36FCA">
      <w:pPr>
        <w:snapToGrid w:val="0"/>
        <w:spacing w:before="120"/>
        <w:rPr>
          <w:rFonts w:hint="eastAsia"/>
          <w:szCs w:val="21"/>
        </w:rPr>
      </w:pPr>
      <w:r>
        <w:rPr>
          <w:rFonts w:hint="eastAsia"/>
          <w:szCs w:val="21"/>
        </w:rPr>
        <w:t>注：任务下达人</w:t>
      </w:r>
      <w:r>
        <w:rPr>
          <w:rFonts w:hint="eastAsia"/>
          <w:szCs w:val="21"/>
          <w:lang w:val="en-US" w:eastAsia="zh-CN"/>
        </w:rPr>
        <w:t>为指导教师，</w:t>
      </w:r>
      <w:r>
        <w:rPr>
          <w:rFonts w:hint="eastAsia"/>
          <w:szCs w:val="21"/>
        </w:rPr>
        <w:t>任务接受人</w:t>
      </w:r>
      <w:r>
        <w:rPr>
          <w:rFonts w:hint="eastAsia"/>
          <w:szCs w:val="21"/>
          <w:lang w:val="en-US" w:eastAsia="zh-CN"/>
        </w:rPr>
        <w:t>为学生；</w:t>
      </w:r>
      <w:r>
        <w:rPr>
          <w:rFonts w:hint="eastAsia"/>
          <w:szCs w:val="21"/>
        </w:rPr>
        <w:t>本表一式三份，任务接</w:t>
      </w:r>
      <w:r>
        <w:rPr>
          <w:rFonts w:hint="eastAsia"/>
          <w:szCs w:val="21"/>
          <w:lang w:val="en-US" w:eastAsia="zh-CN"/>
        </w:rPr>
        <w:t>受</w:t>
      </w:r>
      <w:r>
        <w:rPr>
          <w:rFonts w:hint="eastAsia"/>
          <w:szCs w:val="21"/>
        </w:rPr>
        <w:t>人、任务下达人及教研室各存一份。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420"/>
  <w:displayHorizontalDrawingGridEvery w:val="1"/>
  <w:displayVerticalDrawingGridEvery w:val="1"/>
  <w:characterSpacingControl w:val="compressPunctuation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D5102"/>
    <w:rsid w:val="7D246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41"/>
    <w:basedOn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/>
      <w:b/>
      <w:bCs/>
      <w:kern w:val="0"/>
      <w:sz w:val="24"/>
      <w:szCs w:val="24"/>
      <w:lang w:val="en-US" w:eastAsia="zh-CN" w:bidi="ar"/>
    </w:rPr>
  </w:style>
  <w:style w:type="character" w:customStyle="1" w:styleId="5">
    <w:name w:val="默认段落字体1"/>
    <w:link w:val="1"/>
    <w:semiHidden/>
    <w:qFormat/>
    <w:uiPriority w:val="0"/>
  </w:style>
  <w:style w:type="table" w:customStyle="1" w:styleId="6">
    <w:name w:val="普通表格1"/>
    <w:semiHidden/>
    <w:qFormat/>
    <w:uiPriority w:val="0"/>
  </w:style>
  <w:style w:type="paragraph" w:customStyle="1" w:styleId="7">
    <w:name w:val="普通(网站)1"/>
    <w:basedOn w:val="1"/>
    <w:qFormat/>
    <w:uiPriority w:val="0"/>
    <w:rPr>
      <w:sz w:val="24"/>
    </w:rPr>
  </w:style>
  <w:style w:type="character" w:customStyle="1" w:styleId="8">
    <w:name w:val="要点1"/>
    <w:basedOn w:val="5"/>
    <w:link w:val="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956</Words>
  <Characters>1086</Characters>
  <Lines>0</Lines>
  <Paragraphs>0</Paragraphs>
  <TotalTime>0</TotalTime>
  <ScaleCrop>false</ScaleCrop>
  <LinksUpToDate>false</LinksUpToDate>
  <CharactersWithSpaces>1221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2025-06-11T14:31:00Z</dcterms:created>
  <dc:creator>超哥</dc:creator>
  <cp:lastModifiedBy>计算机大神发财</cp:lastModifiedBy>
  <dcterms:modified xsi:type="dcterms:W3CDTF">2025-08-27T02:13:51Z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eyJoZGlkIjoiMDRiNDVkYzUxM2Q4ODM5NmU1YWNmN2VhODRhMTU3ZDkiLCJ1c2VySWQiOiI2MTgzMDA4MjAifQ==</vt:lpwstr>
  </property>
  <property fmtid="{D5CDD505-2E9C-101B-9397-08002B2CF9AE}" pid="3" name="KSOProductBuildVer">
    <vt:lpwstr>2052-12.1.0.21915</vt:lpwstr>
  </property>
  <property fmtid="{D5CDD505-2E9C-101B-9397-08002B2CF9AE}" pid="4" name="ICV">
    <vt:lpwstr>6EC04C3362A1492A9226E660C121492B_13</vt:lpwstr>
  </property>
</Properties>
</file>