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6995"/>
      </w:tblGrid>
      <w:tr w14:paraId="7F7E7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2024" w:type="dxa"/>
            <w:vAlign w:val="center"/>
          </w:tcPr>
          <w:p w14:paraId="219FB767">
            <w:pPr>
              <w:widowControl w:val="0"/>
              <w:spacing w:after="0"/>
              <w:jc w:val="center"/>
              <w:rPr>
                <w:rFonts w:eastAsia="宋体"/>
                <w:sz w:val="28"/>
                <w:szCs w:val="28"/>
              </w:rPr>
            </w:pPr>
            <w:r>
              <w:rPr>
                <w:rFonts w:ascii="宋体" w:hAnsi="宋体" w:eastAsia="宋体"/>
                <w:sz w:val="30"/>
                <w:szCs w:val="30"/>
              </w:rPr>
              <w:br w:type="page"/>
            </w:r>
            <w:r>
              <w:rPr>
                <w:rFonts w:hint="eastAsia" w:eastAsia="宋体"/>
                <w:sz w:val="28"/>
                <w:szCs w:val="28"/>
              </w:rPr>
              <w:t>论文（设计）选题</w:t>
            </w:r>
          </w:p>
        </w:tc>
        <w:tc>
          <w:tcPr>
            <w:tcW w:w="6995" w:type="dxa"/>
          </w:tcPr>
          <w:p w14:paraId="074BBC2B">
            <w:pPr>
              <w:widowControl w:val="0"/>
              <w:spacing w:after="0"/>
              <w:jc w:val="both"/>
              <w:rPr>
                <w:rFonts w:eastAsia="宋体"/>
                <w:sz w:val="28"/>
                <w:szCs w:val="28"/>
              </w:rPr>
            </w:pPr>
            <w:r>
              <w:rPr>
                <w:rFonts w:hint="eastAsia" w:asciiTheme="minorEastAsia" w:hAnsiTheme="minorEastAsia" w:eastAsiaTheme="minorEastAsia" w:cstheme="minorEastAsia"/>
                <w:sz w:val="28"/>
                <w:szCs w:val="28"/>
              </w:rPr>
              <w:t>基于Python职业篮球运动员数据的分析与可视化</w:t>
            </w:r>
          </w:p>
        </w:tc>
      </w:tr>
      <w:tr w14:paraId="4C9F4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2024" w:type="dxa"/>
            <w:vAlign w:val="center"/>
          </w:tcPr>
          <w:p w14:paraId="31BFB281">
            <w:pPr>
              <w:widowControl w:val="0"/>
              <w:spacing w:after="0"/>
              <w:jc w:val="center"/>
              <w:rPr>
                <w:rFonts w:hint="eastAsia" w:ascii="宋体" w:hAnsi="宋体" w:eastAsia="宋体"/>
                <w:sz w:val="30"/>
                <w:szCs w:val="30"/>
              </w:rPr>
            </w:pPr>
            <w:r>
              <w:rPr>
                <w:rFonts w:hint="eastAsia" w:ascii="宋体" w:hAnsi="宋体" w:eastAsia="宋体"/>
                <w:sz w:val="30"/>
                <w:szCs w:val="30"/>
              </w:rPr>
              <w:t>题目类型</w:t>
            </w:r>
          </w:p>
        </w:tc>
        <w:tc>
          <w:tcPr>
            <w:tcW w:w="6995" w:type="dxa"/>
          </w:tcPr>
          <w:p w14:paraId="222FCB11">
            <w:pPr>
              <w:widowControl w:val="0"/>
              <w:spacing w:after="0"/>
              <w:jc w:val="both"/>
              <w:rPr>
                <w:rFonts w:eastAsia="宋体"/>
                <w:sz w:val="28"/>
                <w:szCs w:val="28"/>
              </w:rPr>
            </w:pPr>
            <w:r>
              <w:rPr>
                <w:rFonts w:hint="eastAsia" w:eastAsia="宋体"/>
                <w:sz w:val="28"/>
                <w:szCs w:val="28"/>
              </w:rPr>
              <w:sym w:font="Wingdings 2" w:char="00A3"/>
            </w:r>
            <w:r>
              <w:rPr>
                <w:rFonts w:hint="eastAsia" w:eastAsia="宋体"/>
                <w:sz w:val="28"/>
                <w:szCs w:val="28"/>
              </w:rPr>
              <w:t xml:space="preserve">理论研究论文 </w:t>
            </w:r>
            <w:r>
              <w:rPr>
                <w:rFonts w:hint="eastAsia" w:eastAsia="宋体"/>
                <w:sz w:val="28"/>
                <w:szCs w:val="28"/>
              </w:rPr>
              <w:sym w:font="Wingdings 2" w:char="0052"/>
            </w:r>
            <w:r>
              <w:rPr>
                <w:rFonts w:hint="eastAsia" w:eastAsia="宋体"/>
                <w:sz w:val="28"/>
                <w:szCs w:val="28"/>
              </w:rPr>
              <w:t xml:space="preserve">应用研究论文 </w:t>
            </w:r>
            <w:r>
              <w:rPr>
                <w:rFonts w:hint="eastAsia" w:eastAsia="宋体"/>
                <w:sz w:val="28"/>
                <w:szCs w:val="28"/>
              </w:rPr>
              <w:sym w:font="Wingdings 2" w:char="00A3"/>
            </w:r>
            <w:r>
              <w:rPr>
                <w:rFonts w:hint="eastAsia" w:eastAsia="宋体"/>
                <w:sz w:val="28"/>
                <w:szCs w:val="28"/>
              </w:rPr>
              <w:t>艺术设计（创作）</w:t>
            </w:r>
          </w:p>
          <w:p w14:paraId="1E8E1A9A">
            <w:pPr>
              <w:widowControl w:val="0"/>
              <w:spacing w:after="0"/>
              <w:jc w:val="both"/>
              <w:rPr>
                <w:rFonts w:eastAsia="宋体"/>
                <w:sz w:val="28"/>
                <w:szCs w:val="28"/>
              </w:rPr>
            </w:pPr>
            <w:r>
              <w:rPr>
                <w:rFonts w:hint="eastAsia" w:eastAsia="宋体"/>
                <w:sz w:val="28"/>
                <w:szCs w:val="28"/>
              </w:rPr>
              <w:sym w:font="Wingdings 2" w:char="00A3"/>
            </w:r>
            <w:r>
              <w:rPr>
                <w:rFonts w:hint="eastAsia" w:eastAsia="宋体"/>
                <w:sz w:val="28"/>
                <w:szCs w:val="28"/>
              </w:rPr>
              <w:t xml:space="preserve">工程设计     </w:t>
            </w:r>
            <w:r>
              <w:rPr>
                <w:rFonts w:hint="eastAsia" w:eastAsia="宋体"/>
                <w:sz w:val="28"/>
                <w:szCs w:val="28"/>
              </w:rPr>
              <w:sym w:font="Wingdings 2" w:char="00A3"/>
            </w:r>
            <w:r>
              <w:rPr>
                <w:rFonts w:hint="eastAsia" w:eastAsia="宋体"/>
                <w:sz w:val="28"/>
                <w:szCs w:val="28"/>
              </w:rPr>
              <w:t xml:space="preserve">程序设计     </w:t>
            </w:r>
            <w:r>
              <w:rPr>
                <w:rFonts w:hint="eastAsia" w:eastAsia="宋体"/>
                <w:sz w:val="28"/>
                <w:szCs w:val="28"/>
              </w:rPr>
              <w:sym w:font="Wingdings 2" w:char="00A3"/>
            </w:r>
            <w:r>
              <w:rPr>
                <w:rFonts w:hint="eastAsia" w:eastAsia="宋体"/>
                <w:sz w:val="28"/>
                <w:szCs w:val="28"/>
              </w:rPr>
              <w:t>其他</w:t>
            </w:r>
          </w:p>
        </w:tc>
      </w:tr>
      <w:tr w14:paraId="3C979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jc w:val="center"/>
        </w:trPr>
        <w:tc>
          <w:tcPr>
            <w:tcW w:w="2024" w:type="dxa"/>
            <w:vAlign w:val="center"/>
          </w:tcPr>
          <w:p w14:paraId="16841237">
            <w:pPr>
              <w:widowControl w:val="0"/>
              <w:spacing w:after="0"/>
              <w:jc w:val="center"/>
              <w:rPr>
                <w:rFonts w:eastAsia="宋体"/>
                <w:sz w:val="28"/>
                <w:szCs w:val="28"/>
              </w:rPr>
            </w:pPr>
            <w:r>
              <w:rPr>
                <w:rFonts w:hint="eastAsia" w:eastAsia="宋体"/>
                <w:sz w:val="28"/>
                <w:szCs w:val="28"/>
              </w:rPr>
              <w:t>选题来源</w:t>
            </w:r>
          </w:p>
        </w:tc>
        <w:tc>
          <w:tcPr>
            <w:tcW w:w="6995" w:type="dxa"/>
            <w:vAlign w:val="center"/>
          </w:tcPr>
          <w:p w14:paraId="63BB887E">
            <w:pPr>
              <w:widowControl w:val="0"/>
              <w:spacing w:after="0"/>
              <w:rPr>
                <w:rFonts w:hint="eastAsia" w:ascii="宋体" w:hAnsi="宋体" w:eastAsia="宋体" w:cs="宋体"/>
                <w:sz w:val="28"/>
                <w:szCs w:val="28"/>
                <w:u w:val="single"/>
              </w:rPr>
            </w:pPr>
            <w:r>
              <w:rPr>
                <w:rFonts w:hint="eastAsia" w:eastAsia="宋体"/>
                <w:sz w:val="28"/>
                <w:szCs w:val="28"/>
              </w:rPr>
              <w:sym w:font="Wingdings 2" w:char="00A3"/>
            </w:r>
            <w:r>
              <w:rPr>
                <w:rFonts w:hint="eastAsia" w:eastAsia="宋体"/>
                <w:sz w:val="28"/>
                <w:szCs w:val="28"/>
              </w:rPr>
              <w:t>校外立项项目</w:t>
            </w:r>
            <w:r>
              <w:rPr>
                <w:rFonts w:hint="eastAsia" w:ascii="宋体" w:hAnsi="宋体" w:eastAsia="宋体" w:cs="宋体"/>
                <w:sz w:val="28"/>
                <w:szCs w:val="28"/>
                <w:u w:val="single"/>
              </w:rPr>
              <w:tab/>
            </w:r>
            <w:r>
              <w:rPr>
                <w:rFonts w:hint="eastAsia" w:ascii="宋体" w:hAnsi="宋体" w:eastAsia="宋体" w:cs="宋体"/>
                <w:sz w:val="28"/>
                <w:szCs w:val="28"/>
                <w:u w:val="single"/>
              </w:rPr>
              <w:t xml:space="preserve">                           </w:t>
            </w:r>
            <w:r>
              <w:rPr>
                <w:rFonts w:hint="eastAsia" w:ascii="宋体" w:hAnsi="宋体" w:eastAsia="宋体" w:cs="宋体"/>
                <w:sz w:val="28"/>
                <w:szCs w:val="28"/>
                <w:u w:val="single"/>
              </w:rPr>
              <w:tab/>
            </w:r>
          </w:p>
          <w:p w14:paraId="2C7032AD">
            <w:pPr>
              <w:widowControl w:val="0"/>
              <w:spacing w:after="0"/>
              <w:rPr>
                <w:rFonts w:eastAsia="宋体"/>
                <w:sz w:val="28"/>
                <w:szCs w:val="28"/>
              </w:rPr>
            </w:pPr>
            <w:r>
              <w:rPr>
                <w:rFonts w:hint="eastAsia" w:eastAsia="宋体"/>
                <w:sz w:val="28"/>
                <w:szCs w:val="28"/>
              </w:rPr>
              <w:sym w:font="Wingdings 2" w:char="00A3"/>
            </w:r>
            <w:r>
              <w:rPr>
                <w:rFonts w:hint="eastAsia" w:eastAsia="宋体"/>
                <w:sz w:val="28"/>
                <w:szCs w:val="28"/>
              </w:rPr>
              <w:t>学校自选项目</w:t>
            </w:r>
            <w:r>
              <w:rPr>
                <w:rFonts w:hint="eastAsia" w:ascii="宋体" w:hAnsi="宋体" w:eastAsia="宋体" w:cs="宋体"/>
                <w:sz w:val="28"/>
                <w:szCs w:val="28"/>
                <w:u w:val="single"/>
              </w:rPr>
              <w:tab/>
            </w:r>
            <w:r>
              <w:rPr>
                <w:rFonts w:hint="eastAsia" w:ascii="宋体" w:hAnsi="宋体" w:eastAsia="宋体" w:cs="宋体"/>
                <w:sz w:val="28"/>
                <w:szCs w:val="28"/>
                <w:u w:val="single"/>
              </w:rPr>
              <w:tab/>
            </w:r>
            <w:r>
              <w:rPr>
                <w:rFonts w:hint="eastAsia" w:ascii="宋体" w:hAnsi="宋体" w:eastAsia="宋体" w:cs="宋体"/>
                <w:sz w:val="28"/>
                <w:szCs w:val="28"/>
                <w:u w:val="single"/>
              </w:rPr>
              <w:t xml:space="preserve">                        </w:t>
            </w:r>
            <w:r>
              <w:rPr>
                <w:rFonts w:hint="eastAsia" w:ascii="宋体" w:hAnsi="宋体" w:eastAsia="宋体" w:cs="宋体"/>
                <w:sz w:val="28"/>
                <w:szCs w:val="28"/>
                <w:u w:val="single"/>
              </w:rPr>
              <w:tab/>
            </w:r>
          </w:p>
          <w:p w14:paraId="6754D5B6">
            <w:pPr>
              <w:widowControl w:val="0"/>
              <w:spacing w:after="0"/>
              <w:rPr>
                <w:rFonts w:eastAsia="宋体"/>
                <w:sz w:val="28"/>
                <w:szCs w:val="28"/>
                <w:u w:val="single"/>
              </w:rPr>
            </w:pPr>
            <w:r>
              <w:rPr>
                <w:rFonts w:hint="eastAsia" w:eastAsia="宋体"/>
                <w:sz w:val="28"/>
                <w:szCs w:val="28"/>
              </w:rPr>
              <w:sym w:font="Wingdings 2" w:char="00A3"/>
            </w:r>
            <w:r>
              <w:rPr>
                <w:rFonts w:hint="eastAsia" w:eastAsia="宋体"/>
                <w:sz w:val="28"/>
                <w:szCs w:val="28"/>
              </w:rPr>
              <w:t xml:space="preserve">非立项      </w:t>
            </w:r>
            <w:r>
              <w:rPr>
                <w:rFonts w:hint="eastAsia" w:eastAsia="宋体"/>
                <w:sz w:val="28"/>
                <w:szCs w:val="28"/>
              </w:rPr>
              <w:sym w:font="Wingdings 2" w:char="0052"/>
            </w:r>
            <w:r>
              <w:rPr>
                <w:rFonts w:hint="eastAsia" w:eastAsia="宋体"/>
                <w:sz w:val="28"/>
                <w:szCs w:val="28"/>
              </w:rPr>
              <w:t>其他</w:t>
            </w:r>
            <w:r>
              <w:rPr>
                <w:rFonts w:hint="eastAsia" w:ascii="宋体" w:hAnsi="宋体" w:eastAsia="宋体" w:cs="宋体"/>
                <w:sz w:val="28"/>
                <w:szCs w:val="28"/>
                <w:u w:val="single"/>
              </w:rPr>
              <w:tab/>
            </w:r>
            <w:r>
              <w:rPr>
                <w:rFonts w:hint="eastAsia" w:ascii="宋体" w:hAnsi="宋体" w:eastAsia="宋体" w:cs="宋体"/>
                <w:sz w:val="28"/>
                <w:szCs w:val="28"/>
                <w:u w:val="single"/>
              </w:rPr>
              <w:t xml:space="preserve">                     </w:t>
            </w:r>
            <w:r>
              <w:rPr>
                <w:rFonts w:hint="eastAsia" w:ascii="宋体" w:hAnsi="宋体" w:eastAsia="宋体" w:cs="宋体"/>
                <w:sz w:val="28"/>
                <w:szCs w:val="28"/>
                <w:u w:val="single"/>
              </w:rPr>
              <w:tab/>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w:t>
            </w:r>
            <w:r>
              <w:rPr>
                <w:rFonts w:hint="eastAsia" w:eastAsia="宋体"/>
                <w:sz w:val="28"/>
                <w:szCs w:val="28"/>
              </w:rPr>
              <w:t xml:space="preserve">      </w:t>
            </w:r>
          </w:p>
        </w:tc>
      </w:tr>
      <w:tr w14:paraId="4554C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jc w:val="center"/>
        </w:trPr>
        <w:tc>
          <w:tcPr>
            <w:tcW w:w="2024" w:type="dxa"/>
            <w:vAlign w:val="center"/>
          </w:tcPr>
          <w:p w14:paraId="1D828E6D">
            <w:pPr>
              <w:widowControl w:val="0"/>
              <w:spacing w:after="0"/>
              <w:jc w:val="center"/>
              <w:rPr>
                <w:rFonts w:eastAsia="宋体"/>
                <w:sz w:val="28"/>
                <w:szCs w:val="28"/>
              </w:rPr>
            </w:pPr>
            <w:r>
              <w:rPr>
                <w:rFonts w:hint="eastAsia" w:eastAsia="宋体"/>
                <w:sz w:val="28"/>
                <w:szCs w:val="28"/>
              </w:rPr>
              <w:t>论文类型</w:t>
            </w:r>
          </w:p>
        </w:tc>
        <w:tc>
          <w:tcPr>
            <w:tcW w:w="6995" w:type="dxa"/>
            <w:vAlign w:val="center"/>
          </w:tcPr>
          <w:p w14:paraId="349EA60B">
            <w:pPr>
              <w:widowControl w:val="0"/>
              <w:spacing w:after="0"/>
              <w:rPr>
                <w:rFonts w:eastAsia="宋体"/>
                <w:sz w:val="28"/>
                <w:szCs w:val="28"/>
              </w:rPr>
            </w:pPr>
            <w:r>
              <w:rPr>
                <w:rFonts w:hint="eastAsia" w:eastAsia="宋体"/>
                <w:sz w:val="28"/>
                <w:szCs w:val="28"/>
              </w:rPr>
              <w:sym w:font="Wingdings 2" w:char="0052"/>
            </w:r>
            <w:r>
              <w:rPr>
                <w:rFonts w:hint="eastAsia" w:eastAsia="宋体"/>
                <w:sz w:val="28"/>
                <w:szCs w:val="28"/>
              </w:rPr>
              <w:t xml:space="preserve">毕业论文  </w:t>
            </w:r>
            <w:r>
              <w:rPr>
                <w:rFonts w:hint="eastAsia" w:eastAsia="宋体"/>
                <w:sz w:val="28"/>
                <w:szCs w:val="28"/>
              </w:rPr>
              <w:sym w:font="Wingdings 2" w:char="00A3"/>
            </w:r>
            <w:r>
              <w:rPr>
                <w:rFonts w:hint="eastAsia" w:eastAsia="宋体"/>
                <w:sz w:val="28"/>
                <w:szCs w:val="28"/>
              </w:rPr>
              <w:t xml:space="preserve">毕业设计   </w:t>
            </w:r>
            <w:r>
              <w:rPr>
                <w:rFonts w:hint="eastAsia" w:eastAsia="宋体"/>
                <w:sz w:val="28"/>
                <w:szCs w:val="28"/>
              </w:rPr>
              <w:sym w:font="Wingdings 2" w:char="00A3"/>
            </w:r>
            <w:r>
              <w:rPr>
                <w:rFonts w:hint="eastAsia" w:eastAsia="宋体"/>
                <w:sz w:val="28"/>
                <w:szCs w:val="28"/>
              </w:rPr>
              <w:t xml:space="preserve">涉密论文  </w:t>
            </w:r>
            <w:r>
              <w:rPr>
                <w:rFonts w:hint="eastAsia" w:eastAsia="宋体"/>
                <w:sz w:val="28"/>
                <w:szCs w:val="28"/>
              </w:rPr>
              <w:sym w:font="Wingdings 2" w:char="00A3"/>
            </w:r>
            <w:r>
              <w:rPr>
                <w:rFonts w:hint="eastAsia" w:eastAsia="宋体"/>
                <w:sz w:val="28"/>
                <w:szCs w:val="28"/>
              </w:rPr>
              <w:t>其他</w:t>
            </w:r>
          </w:p>
        </w:tc>
      </w:tr>
      <w:tr w14:paraId="75CCF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1" w:hRule="atLeast"/>
          <w:jc w:val="center"/>
        </w:trPr>
        <w:tc>
          <w:tcPr>
            <w:tcW w:w="9019" w:type="dxa"/>
            <w:gridSpan w:val="2"/>
          </w:tcPr>
          <w:p w14:paraId="5F91F19F">
            <w:pPr>
              <w:widowControl w:val="0"/>
              <w:spacing w:after="0"/>
              <w:ind w:firstLine="480" w:firstLineChars="200"/>
              <w:jc w:val="both"/>
              <w:rPr>
                <w:rFonts w:eastAsia="宋体"/>
                <w:sz w:val="24"/>
                <w:szCs w:val="20"/>
              </w:rPr>
            </w:pPr>
            <w:r>
              <w:rPr>
                <w:rFonts w:hint="eastAsia" w:eastAsia="宋体"/>
                <w:sz w:val="24"/>
                <w:szCs w:val="20"/>
              </w:rPr>
              <w:t>选题依据（综述国内外有关本选题的研究动态，即文献梳理；说明本选题的理论价值和实际意义）：</w:t>
            </w:r>
            <w:r>
              <w:rPr>
                <w:rFonts w:eastAsia="宋体"/>
                <w:sz w:val="24"/>
                <w:szCs w:val="20"/>
              </w:rPr>
              <w:t xml:space="preserve"> </w:t>
            </w:r>
          </w:p>
          <w:p w14:paraId="7CEF51D3">
            <w:pPr>
              <w:widowControl w:val="0"/>
              <w:spacing w:after="0"/>
              <w:ind w:firstLine="480" w:firstLineChars="200"/>
              <w:jc w:val="both"/>
              <w:rPr>
                <w:rFonts w:eastAsia="宋体"/>
                <w:sz w:val="24"/>
                <w:szCs w:val="24"/>
              </w:rPr>
            </w:pPr>
          </w:p>
          <w:p w14:paraId="04230F88">
            <w:pPr>
              <w:widowControl w:val="0"/>
              <w:spacing w:after="0"/>
              <w:ind w:firstLine="480" w:firstLineChars="200"/>
              <w:jc w:val="both"/>
              <w:rPr>
                <w:rFonts w:eastAsia="宋体"/>
                <w:sz w:val="24"/>
                <w:szCs w:val="24"/>
              </w:rPr>
            </w:pPr>
            <w:r>
              <w:rPr>
                <w:rFonts w:hint="eastAsia" w:eastAsia="宋体"/>
                <w:sz w:val="24"/>
                <w:szCs w:val="24"/>
              </w:rPr>
              <w:t>随着体育产业的发展，体育领域的数据研究也成为了一个热门的探讨话题，对于运动员的数据分析也深得人们探讨。职业篮球作为一项极具观赏性和商业价值的运动，其运动员数据蕴含着巨大的价值。运用Python进行数据分析与可视化，可以深入挖掘篮球运动员的技术特点、比赛表现以及发展趋势，更高效地解析运动员的表现，为教练团队和球队管理提供科学依据，为球队管理、战术制定、运动员训练以及球迷观赛提供新的视角和决策支持。因此，本选题旨在通过Python技术，对职业篮球运动员的数据进行深入挖掘，以发现影响比赛表现的关键因素，为提升运动员竞技水平提供数据支持。</w:t>
            </w:r>
          </w:p>
          <w:p w14:paraId="50177BE5">
            <w:pPr>
              <w:widowControl w:val="0"/>
              <w:spacing w:after="0"/>
              <w:ind w:firstLine="480" w:firstLineChars="200"/>
              <w:jc w:val="both"/>
              <w:rPr>
                <w:rFonts w:eastAsia="宋体"/>
                <w:sz w:val="24"/>
                <w:szCs w:val="24"/>
              </w:rPr>
            </w:pPr>
            <w:r>
              <w:rPr>
                <w:rFonts w:hint="eastAsia" w:eastAsia="宋体"/>
                <w:sz w:val="24"/>
                <w:szCs w:val="24"/>
              </w:rPr>
              <w:t>一、国内外研究现状</w:t>
            </w:r>
          </w:p>
          <w:p w14:paraId="2FF8CF78">
            <w:pPr>
              <w:widowControl w:val="0"/>
              <w:spacing w:after="0"/>
              <w:ind w:firstLine="480" w:firstLineChars="200"/>
              <w:jc w:val="both"/>
              <w:rPr>
                <w:rFonts w:eastAsia="宋体"/>
                <w:sz w:val="24"/>
                <w:szCs w:val="24"/>
              </w:rPr>
            </w:pPr>
            <w:r>
              <w:rPr>
                <w:rFonts w:hint="eastAsia" w:eastAsia="宋体"/>
                <w:sz w:val="24"/>
                <w:szCs w:val="24"/>
              </w:rPr>
              <w:t>1.国外研究现状</w:t>
            </w:r>
          </w:p>
          <w:p w14:paraId="773BE8CF">
            <w:pPr>
              <w:widowControl w:val="0"/>
              <w:spacing w:after="0"/>
              <w:ind w:firstLine="480" w:firstLineChars="200"/>
              <w:jc w:val="both"/>
              <w:rPr>
                <w:rFonts w:eastAsia="宋体"/>
                <w:sz w:val="24"/>
                <w:szCs w:val="24"/>
              </w:rPr>
            </w:pPr>
            <w:r>
              <w:rPr>
                <w:rFonts w:hint="eastAsia" w:eastAsia="宋体"/>
                <w:sz w:val="24"/>
                <w:szCs w:val="24"/>
              </w:rPr>
              <w:t>国外对体育数据分析的研究起步较早，篮球数据分析已经成为体育科研的重要组成部分，美国NBA联赛中，众多球队已经开始运用数据分析技术，如球员效率值（PER）、真实投篮命中率（TS%）等指标，对球员表现进行量化评估。在篮球领域，早在20世纪90年代，就开始利用数据分析来评估球员的表现和球队战术。国外研究主要体现在；</w:t>
            </w:r>
          </w:p>
          <w:p w14:paraId="505F5292">
            <w:pPr>
              <w:widowControl w:val="0"/>
              <w:spacing w:after="0"/>
              <w:ind w:firstLine="480" w:firstLineChars="200"/>
              <w:jc w:val="both"/>
              <w:rPr>
                <w:rFonts w:eastAsia="宋体"/>
                <w:sz w:val="24"/>
                <w:szCs w:val="24"/>
              </w:rPr>
            </w:pPr>
            <w:r>
              <w:rPr>
                <w:rFonts w:hint="eastAsia" w:eastAsia="宋体"/>
                <w:sz w:val="24"/>
                <w:szCs w:val="24"/>
              </w:rPr>
              <w:t>①球员职业生涯与竞技状态的长期分析</w:t>
            </w:r>
          </w:p>
          <w:p w14:paraId="73EF912A">
            <w:pPr>
              <w:widowControl w:val="0"/>
              <w:spacing w:after="0"/>
              <w:ind w:firstLine="480" w:firstLineChars="200"/>
              <w:jc w:val="both"/>
              <w:rPr>
                <w:rFonts w:eastAsia="宋体"/>
                <w:sz w:val="24"/>
                <w:szCs w:val="24"/>
              </w:rPr>
            </w:pPr>
            <w:r>
              <w:rPr>
                <w:rFonts w:hint="eastAsia" w:eastAsia="宋体"/>
                <w:sz w:val="24"/>
                <w:szCs w:val="24"/>
              </w:rPr>
              <w:t>2022年刘玉豪等通过NBA球员20年职业生涯数据如得分、篮板、失误率的纵向统计，发现“30岁后竞技状态呈非线性下降”规律，研究中虽未明确使用Python，但隐含了时间序列分析的需求</w:t>
            </w:r>
            <w:r>
              <w:rPr>
                <w:rFonts w:eastAsia="宋体"/>
                <w:sz w:val="24"/>
                <w:szCs w:val="24"/>
                <w:vertAlign w:val="superscript"/>
              </w:rPr>
              <w:fldChar w:fldCharType="begin"/>
            </w:r>
            <w:r>
              <w:rPr>
                <w:rFonts w:eastAsia="宋体"/>
                <w:sz w:val="24"/>
                <w:szCs w:val="24"/>
                <w:vertAlign w:val="superscript"/>
              </w:rPr>
              <w:instrText xml:space="preserve"> </w:instrText>
            </w:r>
            <w:r>
              <w:rPr>
                <w:rFonts w:hint="eastAsia" w:eastAsia="宋体"/>
                <w:sz w:val="24"/>
                <w:szCs w:val="24"/>
                <w:vertAlign w:val="superscript"/>
              </w:rPr>
              <w:instrText xml:space="preserve">REF _Ref198307652 \r \h</w:instrText>
            </w:r>
            <w:r>
              <w:rPr>
                <w:rFonts w:eastAsia="宋体"/>
                <w:sz w:val="24"/>
                <w:szCs w:val="24"/>
                <w:vertAlign w:val="superscript"/>
              </w:rPr>
              <w:instrText xml:space="preserve"> </w:instrText>
            </w:r>
            <w:r>
              <w:rPr>
                <w:rFonts w:eastAsia="宋体"/>
                <w:sz w:val="24"/>
                <w:szCs w:val="24"/>
                <w:vertAlign w:val="superscript"/>
              </w:rPr>
              <w:fldChar w:fldCharType="separate"/>
            </w:r>
            <w:r>
              <w:rPr>
                <w:rFonts w:eastAsia="宋体"/>
                <w:sz w:val="24"/>
                <w:szCs w:val="24"/>
                <w:vertAlign w:val="superscript"/>
              </w:rPr>
              <w:t>[8]</w:t>
            </w:r>
            <w:r>
              <w:rPr>
                <w:rFonts w:eastAsia="宋体"/>
                <w:sz w:val="24"/>
                <w:szCs w:val="24"/>
                <w:vertAlign w:val="superscript"/>
              </w:rPr>
              <w:fldChar w:fldCharType="end"/>
            </w:r>
            <w:r>
              <w:rPr>
                <w:rFonts w:hint="eastAsia" w:eastAsia="宋体"/>
                <w:sz w:val="24"/>
                <w:szCs w:val="24"/>
              </w:rPr>
              <w:t>。2023年赵祎凡等对NBA选秀球员的体能测试数据如垂直弹跳、折返跑时间进行标准化处理，通过TSA指标量化评估了球员的潜力，此类分析可通过Python的Scikit-learn库实现特征工程与模型训练</w:t>
            </w:r>
            <w:r>
              <w:rPr>
                <w:rFonts w:eastAsia="宋体"/>
                <w:sz w:val="24"/>
                <w:szCs w:val="24"/>
                <w:vertAlign w:val="superscript"/>
              </w:rPr>
              <w:fldChar w:fldCharType="begin"/>
            </w:r>
            <w:r>
              <w:rPr>
                <w:rFonts w:eastAsia="宋体"/>
                <w:sz w:val="24"/>
                <w:szCs w:val="24"/>
                <w:vertAlign w:val="superscript"/>
              </w:rPr>
              <w:instrText xml:space="preserve"> </w:instrText>
            </w:r>
            <w:r>
              <w:rPr>
                <w:rFonts w:hint="eastAsia" w:eastAsia="宋体"/>
                <w:sz w:val="24"/>
                <w:szCs w:val="24"/>
                <w:vertAlign w:val="superscript"/>
              </w:rPr>
              <w:instrText xml:space="preserve">REF _Ref198307691 \r \h</w:instrText>
            </w:r>
            <w:r>
              <w:rPr>
                <w:rFonts w:eastAsia="宋体"/>
                <w:sz w:val="24"/>
                <w:szCs w:val="24"/>
                <w:vertAlign w:val="superscript"/>
              </w:rPr>
              <w:instrText xml:space="preserve"> </w:instrText>
            </w:r>
            <w:r>
              <w:rPr>
                <w:rFonts w:eastAsia="宋体"/>
                <w:sz w:val="24"/>
                <w:szCs w:val="24"/>
                <w:vertAlign w:val="superscript"/>
              </w:rPr>
              <w:fldChar w:fldCharType="separate"/>
            </w:r>
            <w:r>
              <w:rPr>
                <w:rFonts w:eastAsia="宋体"/>
                <w:sz w:val="24"/>
                <w:szCs w:val="24"/>
                <w:vertAlign w:val="superscript"/>
              </w:rPr>
              <w:t>[26]</w:t>
            </w:r>
            <w:r>
              <w:rPr>
                <w:rFonts w:eastAsia="宋体"/>
                <w:sz w:val="24"/>
                <w:szCs w:val="24"/>
                <w:vertAlign w:val="superscript"/>
              </w:rPr>
              <w:fldChar w:fldCharType="end"/>
            </w:r>
            <w:r>
              <w:rPr>
                <w:rFonts w:hint="eastAsia" w:eastAsia="宋体"/>
                <w:sz w:val="24"/>
                <w:szCs w:val="24"/>
              </w:rPr>
              <w:t>。</w:t>
            </w:r>
          </w:p>
          <w:p w14:paraId="48A0E833">
            <w:pPr>
              <w:widowControl w:val="0"/>
              <w:spacing w:after="0"/>
              <w:ind w:firstLine="480" w:firstLineChars="200"/>
              <w:jc w:val="both"/>
              <w:rPr>
                <w:rFonts w:eastAsia="宋体"/>
                <w:sz w:val="24"/>
                <w:szCs w:val="24"/>
              </w:rPr>
            </w:pPr>
            <w:r>
              <w:rPr>
                <w:rFonts w:hint="eastAsia" w:eastAsia="宋体"/>
                <w:sz w:val="24"/>
                <w:szCs w:val="24"/>
              </w:rPr>
              <w:t>②数据驱动的联赛战略与文化研究</w:t>
            </w:r>
          </w:p>
          <w:p w14:paraId="5FF8D4C0">
            <w:pPr>
              <w:widowControl w:val="0"/>
              <w:spacing w:after="0"/>
              <w:ind w:firstLine="480" w:firstLineChars="200"/>
              <w:jc w:val="both"/>
              <w:rPr>
                <w:rFonts w:eastAsia="宋体"/>
                <w:sz w:val="24"/>
                <w:szCs w:val="24"/>
              </w:rPr>
            </w:pPr>
            <w:r>
              <w:rPr>
                <w:rFonts w:hint="eastAsia" w:eastAsia="宋体"/>
                <w:sz w:val="24"/>
                <w:szCs w:val="24"/>
              </w:rPr>
              <w:t>2023 年朱从庆指出，NBA 的全球化扩张依赖 “数据驱动的市场定位”，例如通过观众地域分布数据调整赛事转播策略，此类分析需借助 Python 的地理信息可视化工具（如 Folium）[27]。2023 年陈埭玮研究 NBA 联赛文化生成路径时，通过社交媒体互动数据（如推文、点赞量）分析球迷偏好，Python 的文本挖掘库（如 NLTK）可用于情感分析与主题建模 [28]。</w:t>
            </w:r>
          </w:p>
          <w:p w14:paraId="6806BCFD">
            <w:pPr>
              <w:widowControl w:val="0"/>
              <w:spacing w:after="0"/>
              <w:ind w:firstLine="480" w:firstLineChars="200"/>
              <w:jc w:val="both"/>
              <w:rPr>
                <w:rFonts w:eastAsia="宋体"/>
                <w:sz w:val="24"/>
                <w:szCs w:val="24"/>
              </w:rPr>
            </w:pPr>
            <w:r>
              <w:rPr>
                <w:rFonts w:hint="eastAsia" w:eastAsia="宋体"/>
                <w:sz w:val="24"/>
                <w:szCs w:val="24"/>
              </w:rPr>
              <w:t>③教练与管理的量化决策</w:t>
            </w:r>
          </w:p>
          <w:p w14:paraId="658D1DAF">
            <w:pPr>
              <w:widowControl w:val="0"/>
              <w:spacing w:after="0"/>
              <w:ind w:firstLine="480" w:firstLineChars="200"/>
              <w:jc w:val="both"/>
              <w:rPr>
                <w:rFonts w:eastAsia="宋体"/>
                <w:sz w:val="24"/>
                <w:szCs w:val="24"/>
              </w:rPr>
            </w:pPr>
            <w:r>
              <w:rPr>
                <w:rFonts w:hint="eastAsia" w:eastAsia="宋体"/>
                <w:sz w:val="24"/>
                <w:szCs w:val="24"/>
              </w:rPr>
              <w:t>2022 年蔡剑龙分析 NBA 传奇教练菲尔・杰克逊的执教特征时，统计其战术（如三角进攻）的使用率与胜率相关性，若结合 Python 的热图（Heatmap）可视化，可更直观展示战术与胜负的关联 [29]。2022 年安旭泽对比 NBA 与 CBA 的内部制衡机制（如工资帽、选秀权分配）时，通过 Python 的箱线图（Boxplot）清晰呈现两者在资源分配上的差异 [30]。近年来，随着数据采集技术的进步，研究更加深入，如利用球员追踪数据来分析球员的跑动轨迹和战术配合。此外，机器学习等先进技术也被应用于篮球数据分析，如预测比赛结果、球员伤病等。</w:t>
            </w:r>
          </w:p>
          <w:p w14:paraId="71B8B25D">
            <w:pPr>
              <w:widowControl w:val="0"/>
              <w:spacing w:after="0"/>
              <w:ind w:firstLine="480" w:firstLineChars="200"/>
              <w:jc w:val="both"/>
              <w:rPr>
                <w:rFonts w:eastAsia="宋体"/>
                <w:sz w:val="24"/>
                <w:szCs w:val="24"/>
              </w:rPr>
            </w:pPr>
            <w:r>
              <w:rPr>
                <w:rFonts w:hint="eastAsia" w:eastAsia="宋体"/>
                <w:sz w:val="24"/>
                <w:szCs w:val="24"/>
              </w:rPr>
              <w:t>2.国内研究现状</w:t>
            </w:r>
          </w:p>
          <w:p w14:paraId="559F9A49">
            <w:pPr>
              <w:widowControl w:val="0"/>
              <w:spacing w:after="0"/>
              <w:ind w:firstLine="480" w:firstLineChars="200"/>
              <w:jc w:val="both"/>
              <w:rPr>
                <w:rFonts w:eastAsia="宋体"/>
                <w:sz w:val="24"/>
                <w:szCs w:val="24"/>
              </w:rPr>
            </w:pPr>
            <w:r>
              <w:rPr>
                <w:rFonts w:hint="eastAsia" w:eastAsia="宋体"/>
                <w:sz w:val="24"/>
                <w:szCs w:val="24"/>
              </w:rPr>
              <w:t>在国内，对体育数据分析的研究起步相对较晚，但近年来也开始注重并发展起来。在篮球领域，研究主要集中在球员技术统计、比赛数据分析等方面。</w:t>
            </w:r>
          </w:p>
          <w:p w14:paraId="66EED023">
            <w:pPr>
              <w:widowControl w:val="0"/>
              <w:spacing w:after="0"/>
              <w:ind w:firstLine="480" w:firstLineChars="200"/>
              <w:jc w:val="both"/>
              <w:rPr>
                <w:rFonts w:eastAsia="宋体"/>
                <w:sz w:val="24"/>
                <w:szCs w:val="24"/>
              </w:rPr>
            </w:pPr>
            <w:r>
              <w:rPr>
                <w:rFonts w:hint="eastAsia" w:eastAsia="宋体"/>
                <w:sz w:val="24"/>
                <w:szCs w:val="24"/>
              </w:rPr>
              <w:t>①数据驱动的赛事与训练分析</w:t>
            </w:r>
          </w:p>
          <w:p w14:paraId="72B3C4F3">
            <w:pPr>
              <w:widowControl w:val="0"/>
              <w:spacing w:after="0"/>
              <w:ind w:firstLine="480" w:firstLineChars="200"/>
              <w:jc w:val="both"/>
              <w:rPr>
                <w:rFonts w:eastAsia="宋体"/>
                <w:sz w:val="24"/>
                <w:szCs w:val="24"/>
              </w:rPr>
            </w:pPr>
            <w:r>
              <w:rPr>
                <w:rFonts w:hint="eastAsia" w:eastAsia="宋体"/>
                <w:sz w:val="24"/>
                <w:szCs w:val="24"/>
              </w:rPr>
              <w:t>2022 年刘炳泉指出，大数据技术已渗透至 CBA 赛事的战术复盘、观众行为分析等环节，但未明确提及具体数据分析工具 [7]。2022 年刘孟璠强调高水平运动队需加强数据整理与运用，但仅停留在 “数据记录” 层面，未涉及可视化或建模 [10]。2017 年赵述强等构建职业篮球运动员体能指标体系（如力量、速度、耐力），但数据验证依赖传统统计方法，缺乏动态可视化展示 [16]。</w:t>
            </w:r>
          </w:p>
          <w:p w14:paraId="7597903E">
            <w:pPr>
              <w:widowControl w:val="0"/>
              <w:spacing w:after="0"/>
              <w:ind w:firstLine="480" w:firstLineChars="200"/>
              <w:jc w:val="both"/>
              <w:rPr>
                <w:rFonts w:eastAsia="宋体"/>
                <w:sz w:val="24"/>
                <w:szCs w:val="24"/>
              </w:rPr>
            </w:pPr>
            <w:r>
              <w:rPr>
                <w:rFonts w:hint="eastAsia" w:eastAsia="宋体"/>
                <w:sz w:val="24"/>
                <w:szCs w:val="24"/>
              </w:rPr>
              <w:t>②人才输送与转会机制的量化研究</w:t>
            </w:r>
          </w:p>
          <w:p w14:paraId="52857F00">
            <w:pPr>
              <w:widowControl w:val="0"/>
              <w:spacing w:after="0"/>
              <w:ind w:firstLine="480" w:firstLineChars="200"/>
              <w:jc w:val="both"/>
              <w:rPr>
                <w:rFonts w:eastAsia="宋体"/>
                <w:sz w:val="24"/>
                <w:szCs w:val="24"/>
              </w:rPr>
            </w:pPr>
            <w:r>
              <w:rPr>
                <w:rFonts w:hint="eastAsia" w:eastAsia="宋体"/>
                <w:sz w:val="24"/>
                <w:szCs w:val="24"/>
              </w:rPr>
              <w:t>2022 年黄亚男等通过对比高校联赛（CUBA）与职业联赛（CBA）的人才输送数据，发现高校向职业联赛的输送率不足 10%，但仅通过表格呈现结果，未借助可视化工具直观展示输送路径 [9]。2023 年崔佳琦分析职业篮球运动员转会的利益博弈时，虽涉及转会费、合同年限等数据，但未对关键变量（如年龄、竞技状态）进行相关性分析 [4]。</w:t>
            </w:r>
          </w:p>
          <w:p w14:paraId="6666132A">
            <w:pPr>
              <w:widowControl w:val="0"/>
              <w:spacing w:after="0"/>
              <w:ind w:firstLine="480" w:firstLineChars="200"/>
              <w:jc w:val="both"/>
              <w:rPr>
                <w:rFonts w:eastAsia="宋体"/>
                <w:sz w:val="24"/>
                <w:szCs w:val="24"/>
              </w:rPr>
            </w:pPr>
            <w:r>
              <w:rPr>
                <w:rFonts w:hint="eastAsia" w:eastAsia="宋体"/>
                <w:sz w:val="24"/>
                <w:szCs w:val="24"/>
              </w:rPr>
              <w:t>③制度与权益的数据分析</w:t>
            </w:r>
          </w:p>
          <w:p w14:paraId="74FA2F3C">
            <w:pPr>
              <w:widowControl w:val="0"/>
              <w:spacing w:after="0"/>
              <w:ind w:firstLine="480" w:firstLineChars="200"/>
              <w:jc w:val="both"/>
              <w:rPr>
                <w:rFonts w:eastAsia="宋体"/>
                <w:sz w:val="24"/>
                <w:szCs w:val="24"/>
              </w:rPr>
            </w:pPr>
            <w:r>
              <w:rPr>
                <w:rFonts w:hint="eastAsia" w:eastAsia="宋体"/>
                <w:sz w:val="24"/>
                <w:szCs w:val="24"/>
              </w:rPr>
              <w:t>2025 年陈传亮等研究 CBA 球员聘用合同的法律性质时，通过统计合同期限、薪资结构等数据，论证其 “特殊劳动关系” 属性，但数据呈现方式单一 [1]。2021 年陆广探讨我国职业篮球运动员协会构建时，参考 NBA 球员工会（NBPA）的运行数据（如谈判成功率、福利覆盖范围），但未对数据进行可视化对比 [12]。</w:t>
            </w:r>
          </w:p>
          <w:p w14:paraId="3CF3101A">
            <w:pPr>
              <w:widowControl w:val="0"/>
              <w:spacing w:after="0"/>
              <w:ind w:firstLine="480" w:firstLineChars="200"/>
              <w:jc w:val="both"/>
              <w:rPr>
                <w:rFonts w:eastAsia="宋体"/>
                <w:sz w:val="24"/>
                <w:szCs w:val="24"/>
              </w:rPr>
            </w:pPr>
            <w:r>
              <w:rPr>
                <w:rFonts w:hint="eastAsia" w:eastAsia="宋体"/>
                <w:sz w:val="24"/>
                <w:szCs w:val="24"/>
              </w:rPr>
              <w:t>总体而言，国内研究聚焦于职业篮球（以CBA为主）的实践问题，数据应用多围绕赛事影响、人才输送、体能评估、制度优化等方向展开，技术手段以描述性统计为主，Python等工具的深度应用仍处于探索阶段。国外在职业篮球数据分析领域已形成较为成熟的理论体系和技术应用，而国内研究尚处于起步阶段，尤其在数据可视化和预测模型方面有待进一步发展。</w:t>
            </w:r>
          </w:p>
          <w:p w14:paraId="53BD804C">
            <w:pPr>
              <w:widowControl w:val="0"/>
              <w:spacing w:after="0"/>
              <w:ind w:firstLine="480" w:firstLineChars="200"/>
              <w:jc w:val="both"/>
              <w:rPr>
                <w:rFonts w:eastAsia="宋体"/>
                <w:sz w:val="24"/>
                <w:szCs w:val="24"/>
              </w:rPr>
            </w:pPr>
            <w:r>
              <w:rPr>
                <w:rFonts w:hint="eastAsia" w:eastAsia="宋体"/>
                <w:sz w:val="24"/>
                <w:szCs w:val="24"/>
              </w:rPr>
              <w:t>二、理论价值和实际意义</w:t>
            </w:r>
          </w:p>
          <w:p w14:paraId="27EFCF0F">
            <w:pPr>
              <w:widowControl w:val="0"/>
              <w:spacing w:after="0"/>
              <w:ind w:firstLine="480" w:firstLineChars="200"/>
              <w:jc w:val="both"/>
              <w:rPr>
                <w:rFonts w:eastAsia="宋体"/>
                <w:sz w:val="24"/>
                <w:szCs w:val="24"/>
              </w:rPr>
            </w:pPr>
            <w:r>
              <w:rPr>
                <w:rFonts w:hint="eastAsia" w:eastAsia="宋体"/>
                <w:sz w:val="24"/>
                <w:szCs w:val="24"/>
              </w:rPr>
              <w:t>1.理论价值</w:t>
            </w:r>
          </w:p>
          <w:p w14:paraId="35E7380F">
            <w:pPr>
              <w:widowControl w:val="0"/>
              <w:spacing w:after="0"/>
              <w:ind w:firstLine="480" w:firstLineChars="200"/>
              <w:jc w:val="both"/>
              <w:rPr>
                <w:rFonts w:eastAsia="宋体"/>
                <w:sz w:val="24"/>
                <w:szCs w:val="24"/>
              </w:rPr>
            </w:pPr>
            <w:r>
              <w:rPr>
                <w:rFonts w:hint="eastAsia" w:eastAsia="宋体"/>
                <w:sz w:val="24"/>
                <w:szCs w:val="24"/>
              </w:rPr>
              <w:t>本研究利用Python对职业篮球运动员数据进行深入分析与可视化，有助于球队管理层更好地了解运动员的表现，制定合理的战术和训练计划，还有助于运动员本人通过数据分析，针对性地提升自己的技能。理论上，可以丰富体育数据分析的方法论，推动体育数据科学的发展。实践上，可以为球队管理层提供科学决策依据，优化战术安排和运动员选拔；为教练团队提供针对性的训练方案，提升运动员竞技水平；为广大球迷提供更直观、深入的比赛解读，增强观赛体验。此外，本研究对于体育数据分析行业的发展也具有一定的推动作用，有助于提升体育产业的科技含量。</w:t>
            </w:r>
          </w:p>
          <w:p w14:paraId="025E677A">
            <w:pPr>
              <w:widowControl w:val="0"/>
              <w:spacing w:after="0"/>
              <w:ind w:firstLine="480" w:firstLineChars="200"/>
              <w:jc w:val="both"/>
              <w:rPr>
                <w:rFonts w:eastAsia="宋体"/>
                <w:sz w:val="24"/>
                <w:szCs w:val="24"/>
              </w:rPr>
            </w:pPr>
            <w:r>
              <w:rPr>
                <w:rFonts w:hint="eastAsia" w:eastAsia="宋体"/>
                <w:sz w:val="24"/>
                <w:szCs w:val="24"/>
              </w:rPr>
              <w:t>2.实际意义</w:t>
            </w:r>
          </w:p>
          <w:p w14:paraId="7AB4667E">
            <w:pPr>
              <w:widowControl w:val="0"/>
              <w:spacing w:after="0"/>
              <w:ind w:firstLine="480" w:firstLineChars="200"/>
              <w:jc w:val="both"/>
              <w:rPr>
                <w:rFonts w:eastAsia="宋体"/>
                <w:sz w:val="30"/>
                <w:szCs w:val="30"/>
              </w:rPr>
            </w:pPr>
            <w:r>
              <w:rPr>
                <w:rFonts w:hint="eastAsia" w:eastAsia="宋体"/>
                <w:sz w:val="24"/>
                <w:szCs w:val="24"/>
              </w:rPr>
              <w:t>随着信息技术的飞速发展，数据已经成为各个领域重要的生产要素。在体育领域，尤其是竞技体育，数据的重要性日益凸显。职业篮球作为一项全球性的体育运动，其比赛过程和运动员表现产生了海量的数据。如何有效地收集、处理、分析和可视化这些数据，已经成为体育数据分析领域的研究热点。Python作为一种强大的编程语言，在数据分析、机器学习和可视化方面具有显著的优势，被广泛应用于各个领域。本研究将聚焦于利用Python对职业篮球运动员数据进行深入分析与可视化，旨在挖掘数据背后的价值，为篮球运动的发展提供新的视角和决策支持。</w:t>
            </w:r>
          </w:p>
        </w:tc>
      </w:tr>
      <w:tr w14:paraId="4E401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1" w:hRule="atLeast"/>
          <w:jc w:val="center"/>
        </w:trPr>
        <w:tc>
          <w:tcPr>
            <w:tcW w:w="9019" w:type="dxa"/>
            <w:gridSpan w:val="2"/>
          </w:tcPr>
          <w:p w14:paraId="52784E8F">
            <w:pPr>
              <w:widowControl w:val="0"/>
              <w:spacing w:after="0"/>
              <w:jc w:val="both"/>
              <w:rPr>
                <w:rFonts w:eastAsia="宋体"/>
                <w:sz w:val="24"/>
                <w:szCs w:val="24"/>
              </w:rPr>
            </w:pPr>
            <w:r>
              <w:rPr>
                <w:rFonts w:hint="eastAsia" w:eastAsia="宋体"/>
                <w:sz w:val="24"/>
                <w:szCs w:val="20"/>
              </w:rPr>
              <w:t>选题的主要研究内容：</w:t>
            </w:r>
            <w:r>
              <w:rPr>
                <w:rFonts w:eastAsia="宋体"/>
                <w:sz w:val="24"/>
                <w:szCs w:val="24"/>
              </w:rPr>
              <w:t xml:space="preserve"> </w:t>
            </w:r>
          </w:p>
          <w:p w14:paraId="6C6AB503">
            <w:pPr>
              <w:widowControl w:val="0"/>
              <w:spacing w:after="0"/>
              <w:ind w:firstLine="210"/>
              <w:jc w:val="both"/>
              <w:rPr>
                <w:rFonts w:eastAsia="宋体"/>
                <w:sz w:val="24"/>
                <w:szCs w:val="24"/>
              </w:rPr>
            </w:pPr>
            <w:r>
              <w:rPr>
                <w:rFonts w:hint="eastAsia" w:eastAsia="宋体"/>
                <w:sz w:val="24"/>
                <w:szCs w:val="24"/>
              </w:rPr>
              <w:t>1. 数据收集</w:t>
            </w:r>
          </w:p>
          <w:p w14:paraId="54AF37F6">
            <w:pPr>
              <w:spacing w:after="0" w:line="44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rPr>
              <w:t>确定数据来源：从NBA官网、CBA官网、第三方数据平台（如虎扑,Basketball-Reference, ESPN）以及公开数据集（如Kaggle）收集</w:t>
            </w:r>
            <w:r>
              <w:rPr>
                <w:rFonts w:hint="eastAsia" w:asciiTheme="minorEastAsia" w:hAnsiTheme="minorEastAsia" w:eastAsiaTheme="minorEastAsia" w:cstheme="minorEastAsia"/>
                <w:sz w:val="24"/>
                <w:szCs w:val="24"/>
              </w:rPr>
              <w:t>职业篮球运动员的</w:t>
            </w:r>
            <w:r>
              <w:rPr>
                <w:rFonts w:hint="eastAsia" w:asciiTheme="minorEastAsia" w:hAnsiTheme="minorEastAsia" w:eastAsiaTheme="minorEastAsia" w:cstheme="minorEastAsia"/>
                <w:sz w:val="24"/>
              </w:rPr>
              <w:t>相关数据。</w:t>
            </w:r>
          </w:p>
          <w:p w14:paraId="6102CC94">
            <w:pPr>
              <w:spacing w:after="0" w:line="440" w:lineRule="exact"/>
              <w:ind w:firstLine="480" w:firstLineChars="200"/>
              <w:rPr>
                <w:rFonts w:eastAsia="宋体"/>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rPr>
              <w:t>确定数据类型：</w:t>
            </w:r>
            <w:r>
              <w:rPr>
                <w:rFonts w:hint="eastAsia" w:eastAsia="宋体"/>
                <w:sz w:val="24"/>
                <w:szCs w:val="24"/>
              </w:rPr>
              <w:t>职业篮球运动员数据主要包含以下几个方面：</w:t>
            </w:r>
          </w:p>
          <w:p w14:paraId="436F3F67">
            <w:pPr>
              <w:widowControl w:val="0"/>
              <w:spacing w:after="0"/>
              <w:ind w:firstLine="480" w:firstLineChars="200"/>
              <w:jc w:val="both"/>
              <w:rPr>
                <w:rFonts w:eastAsia="宋体"/>
                <w:sz w:val="24"/>
                <w:szCs w:val="24"/>
              </w:rPr>
            </w:pPr>
            <w:r>
              <w:rPr>
                <w:rFonts w:hint="eastAsia" w:eastAsia="宋体"/>
                <w:sz w:val="24"/>
                <w:szCs w:val="24"/>
              </w:rPr>
              <w:t>基本信息： 包括运动员的姓名、年龄、身高、体重、位置、球队等。</w:t>
            </w:r>
          </w:p>
          <w:p w14:paraId="1DE03301">
            <w:pPr>
              <w:widowControl w:val="0"/>
              <w:spacing w:after="0"/>
              <w:ind w:firstLine="480" w:firstLineChars="200"/>
              <w:jc w:val="both"/>
              <w:rPr>
                <w:rFonts w:eastAsia="宋体"/>
                <w:sz w:val="24"/>
                <w:szCs w:val="24"/>
              </w:rPr>
            </w:pPr>
            <w:r>
              <w:rPr>
                <w:rFonts w:hint="eastAsia" w:eastAsia="宋体"/>
                <w:sz w:val="24"/>
                <w:szCs w:val="24"/>
              </w:rPr>
              <w:t>技术统计：这是数据的核心部分，包括得分、篮板、助攻、抢断、盖帽、失误、犯规、投篮命中率、三分命中率、罚球命中率等。这些数据又可以分为总数、场均、每分钟等指标。</w:t>
            </w:r>
          </w:p>
          <w:p w14:paraId="3D116602">
            <w:pPr>
              <w:widowControl w:val="0"/>
              <w:spacing w:after="0"/>
              <w:ind w:firstLine="480" w:firstLineChars="200"/>
              <w:jc w:val="both"/>
              <w:rPr>
                <w:rFonts w:eastAsia="宋体"/>
                <w:sz w:val="24"/>
                <w:szCs w:val="24"/>
              </w:rPr>
            </w:pPr>
            <w:r>
              <w:rPr>
                <w:rFonts w:hint="eastAsia" w:eastAsia="宋体"/>
                <w:sz w:val="24"/>
                <w:szCs w:val="24"/>
              </w:rPr>
              <w:t>比赛数据：包括比赛时间、对手、比赛地点、比赛结果等。</w:t>
            </w:r>
          </w:p>
          <w:p w14:paraId="5F8340DA">
            <w:pPr>
              <w:widowControl w:val="0"/>
              <w:spacing w:after="0"/>
              <w:ind w:firstLine="480" w:firstLineChars="200"/>
              <w:jc w:val="both"/>
              <w:rPr>
                <w:rFonts w:eastAsia="宋体"/>
                <w:sz w:val="24"/>
                <w:szCs w:val="24"/>
              </w:rPr>
            </w:pPr>
            <w:r>
              <w:rPr>
                <w:rFonts w:hint="eastAsia" w:eastAsia="宋体"/>
                <w:sz w:val="24"/>
                <w:szCs w:val="24"/>
              </w:rPr>
              <w:t>高级数据：随着数据分析的发展，一些高级数据指标被提出，如球员效率值 (PER)、真实命中率 (TS%)、胜负值 (Win Shares)、正负值 (+/-) 等，这些指标能够更全面地评估球员的综合能力和对球队的贡献。</w:t>
            </w:r>
          </w:p>
          <w:p w14:paraId="495BDB23">
            <w:pPr>
              <w:widowControl w:val="0"/>
              <w:spacing w:after="0"/>
              <w:ind w:firstLine="480" w:firstLineChars="200"/>
              <w:jc w:val="both"/>
              <w:rPr>
                <w:rFonts w:eastAsia="宋体"/>
                <w:sz w:val="24"/>
                <w:szCs w:val="24"/>
              </w:rPr>
            </w:pPr>
            <w:r>
              <w:rPr>
                <w:rFonts w:hint="eastAsia" w:eastAsia="宋体"/>
                <w:sz w:val="24"/>
                <w:szCs w:val="24"/>
              </w:rPr>
              <w:t>追踪数据：近年来，一些职业联赛建立了球员追踪系统，可以实时采集球员在场上的位置、速度、加速度等数据，为深入分析球员的跑动轨迹、战术配合提供了新的数据来源。</w:t>
            </w:r>
          </w:p>
          <w:p w14:paraId="63F2B5CA">
            <w:pPr>
              <w:widowControl w:val="0"/>
              <w:spacing w:after="0"/>
              <w:ind w:firstLine="240" w:firstLineChars="100"/>
              <w:jc w:val="both"/>
              <w:rPr>
                <w:rFonts w:eastAsia="宋体"/>
                <w:sz w:val="24"/>
                <w:szCs w:val="24"/>
              </w:rPr>
            </w:pPr>
            <w:r>
              <w:rPr>
                <w:rFonts w:hint="eastAsia" w:eastAsia="宋体"/>
                <w:sz w:val="24"/>
                <w:szCs w:val="24"/>
              </w:rPr>
              <w:t xml:space="preserve">2. </w:t>
            </w:r>
            <w:r>
              <w:rPr>
                <w:rFonts w:hint="eastAsia"/>
                <w:sz w:val="24"/>
              </w:rPr>
              <w:t>数据清理与预处理</w:t>
            </w:r>
          </w:p>
          <w:p w14:paraId="7134EBAF">
            <w:pPr>
              <w:widowControl w:val="0"/>
              <w:spacing w:after="0"/>
              <w:ind w:firstLine="480" w:firstLineChars="200"/>
              <w:jc w:val="both"/>
              <w:rPr>
                <w:rFonts w:hint="eastAsia" w:eastAsia="宋体"/>
                <w:sz w:val="24"/>
                <w:szCs w:val="24"/>
              </w:rPr>
            </w:pPr>
            <w:r>
              <w:rPr>
                <w:rFonts w:hint="eastAsia" w:eastAsia="宋体"/>
                <w:sz w:val="24"/>
                <w:szCs w:val="24"/>
              </w:rPr>
              <w:t>（1）处理缺失值：对收集到的数据进行检查，识别并处理缺失值。比如采用填充（如均值填充、中位数填充等）或删除缺失值记录等方法，确保数据的完整性和可用性。</w:t>
            </w:r>
          </w:p>
          <w:p w14:paraId="2AA96FE9">
            <w:pPr>
              <w:widowControl w:val="0"/>
              <w:spacing w:after="0"/>
              <w:ind w:firstLine="480" w:firstLineChars="200"/>
              <w:jc w:val="both"/>
              <w:rPr>
                <w:rFonts w:eastAsia="宋体"/>
                <w:sz w:val="24"/>
                <w:szCs w:val="24"/>
              </w:rPr>
            </w:pPr>
            <w:r>
              <w:rPr>
                <w:rFonts w:hint="eastAsia" w:eastAsia="宋体"/>
                <w:sz w:val="24"/>
                <w:szCs w:val="24"/>
              </w:rPr>
              <w:t>（2）数据标准化：将不同尺度的数值型数据转换为统一范围或分布，避免因量纲差异导致模型偏差（如年龄、身高、得分等指标的单位不同），通过标准化使其在同一尺度下，以便后续的数据分析和模型构建。</w:t>
            </w:r>
          </w:p>
          <w:p w14:paraId="117EF7FA">
            <w:pPr>
              <w:widowControl w:val="0"/>
              <w:spacing w:after="0"/>
              <w:ind w:firstLine="480" w:firstLineChars="200"/>
              <w:jc w:val="both"/>
              <w:rPr>
                <w:rFonts w:hint="eastAsia" w:eastAsia="宋体"/>
                <w:sz w:val="24"/>
                <w:szCs w:val="24"/>
              </w:rPr>
            </w:pPr>
            <w:r>
              <w:rPr>
                <w:rFonts w:hint="eastAsia" w:eastAsia="宋体"/>
                <w:sz w:val="24"/>
                <w:szCs w:val="24"/>
              </w:rPr>
              <w:t>（3）数据编码：对于一些分类变量进行适当的编码，将分类变量（如球员位置、球队名称、合同状态等）转换为数值型数据，便于算法处理,以便能够在数据分析和可视化工具中进行使用。</w:t>
            </w:r>
          </w:p>
          <w:p w14:paraId="4EFBF39B">
            <w:pPr>
              <w:spacing w:line="440" w:lineRule="exact"/>
              <w:ind w:firstLine="240" w:firstLineChars="100"/>
              <w:rPr>
                <w:sz w:val="24"/>
              </w:rPr>
            </w:pPr>
            <w:r>
              <w:rPr>
                <w:rFonts w:hint="eastAsia"/>
                <w:sz w:val="24"/>
              </w:rPr>
              <w:t>3.数据分析</w:t>
            </w:r>
          </w:p>
          <w:p w14:paraId="32BD6D95">
            <w:pPr>
              <w:widowControl w:val="0"/>
              <w:spacing w:after="0"/>
              <w:ind w:firstLine="480" w:firstLineChars="200"/>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（1）描述性统计分析：</w:t>
            </w:r>
            <w:r>
              <w:rPr>
                <w:rFonts w:hint="eastAsia" w:asciiTheme="minorEastAsia" w:hAnsiTheme="minorEastAsia" w:eastAsiaTheme="minorEastAsia" w:cstheme="minorEastAsia"/>
                <w:sz w:val="24"/>
                <w:szCs w:val="24"/>
              </w:rPr>
              <w:t>利用Python的Pandas库，对运动员的基本信息、技术统计、比赛数据进行描述性统计分析，如计算均值、标准差、最大值、最小值等，初步了解运动员的整体表现。</w:t>
            </w:r>
          </w:p>
          <w:p w14:paraId="2821B2AA">
            <w:pPr>
              <w:spacing w:line="44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（2）相关性分析:量化分析职业篮球运动员各项技术指标之间的关联程度，识别影响比赛表现的关键因素。如分析 “三分命中率” 与 “场均得分” 的相关性，判断外线投射对球员表现的影响；探究 “出场时间” 与 “失误率” 的关联性，识别疲劳对球员稳定性的影响阈值等。</w:t>
            </w:r>
          </w:p>
          <w:p w14:paraId="2FCFECD0">
            <w:pPr>
              <w:widowControl w:val="0"/>
              <w:spacing w:after="0"/>
              <w:ind w:firstLine="480" w:firstLineChars="200"/>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（3）时间序列分析:挖掘职业篮球运动员数据在时间维度上的规律，如职业生涯周期内的表现波动、赛季内的状态变化趋势。通过 Python 的statsmodels库进行时间序列分解，识别 “年龄增长导致的竞技状态下降” 等长期趋势（如刘玉豪等研究发现的 “30 岁后状态非线性下降” 规律 [8]）。</w:t>
            </w:r>
          </w:p>
          <w:p w14:paraId="56BCC539">
            <w:pPr>
              <w:widowControl w:val="0"/>
              <w:spacing w:after="0"/>
              <w:ind w:firstLine="480" w:firstLineChars="200"/>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（4）回归分析:构建统计模型评估各因素对球员表现的影响程度，识别关键驱动因素。</w:t>
            </w:r>
          </w:p>
          <w:p w14:paraId="22E6F77F">
            <w:pPr>
              <w:widowControl w:val="0"/>
              <w:spacing w:after="0"/>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（5）机器学习模型:使用K-means 聚类算法或层次聚类，对球员技术指标（如得分、助攻、抢断、盖帽等）进行降维分组。，以对具有相似特征的产量数据进行集合。</w:t>
            </w:r>
          </w:p>
          <w:p w14:paraId="11B18A2C">
            <w:pPr>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rPr>
              <w:t>（6）构建预测模型：根据数据分析结果，可以尝试构建简单的预测模型，如线性回归模型等，以预测</w:t>
            </w:r>
            <w:r>
              <w:rPr>
                <w:rFonts w:hint="eastAsia" w:asciiTheme="minorEastAsia" w:hAnsiTheme="minorEastAsia" w:eastAsiaTheme="minorEastAsia" w:cstheme="minorEastAsia"/>
                <w:sz w:val="24"/>
                <w:szCs w:val="24"/>
              </w:rPr>
              <w:t>预测球员下赛季的场均得分（如根据前 3 赛季数据建立趋势外推模型）。</w:t>
            </w:r>
          </w:p>
          <w:p w14:paraId="630E74F3">
            <w:pPr>
              <w:spacing w:line="440" w:lineRule="exact"/>
              <w:ind w:firstLine="480" w:firstLineChars="200"/>
              <w:rPr>
                <w:sz w:val="24"/>
              </w:rPr>
            </w:pPr>
            <w:r>
              <w:rPr>
                <w:rFonts w:hint="eastAsia"/>
                <w:sz w:val="24"/>
              </w:rPr>
              <w:t>4.数据可视化</w:t>
            </w:r>
          </w:p>
          <w:p w14:paraId="3CA98C9B">
            <w:pPr>
              <w:widowControl w:val="0"/>
              <w:spacing w:after="0"/>
              <w:ind w:firstLine="480" w:firstLineChars="200"/>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（1）选择合适的可视化工具：可以使用 Python 中的可视化库，如 Matplotlib、Seaborn 等。</w:t>
            </w:r>
          </w:p>
          <w:p w14:paraId="4F83F997">
            <w:pPr>
              <w:widowControl w:val="0"/>
              <w:spacing w:after="0"/>
              <w:ind w:firstLine="480" w:firstLineChars="200"/>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（2）绘制基础图表：绘制直方图展示球员年龄分布，用箱线图对比不同位置球员的篮板数据差异等。</w:t>
            </w:r>
          </w:p>
          <w:p w14:paraId="150AE32F">
            <w:pPr>
              <w:widowControl w:val="0"/>
              <w:spacing w:after="0"/>
              <w:ind w:firstLine="480" w:firstLineChars="200"/>
              <w:jc w:val="both"/>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（3）可视化相关性：动态折线图展示球员赛季得分趋势，桑基图可视化球员转会路径等。</w:t>
            </w:r>
          </w:p>
          <w:p w14:paraId="5DBA46EF">
            <w:pPr>
              <w:widowControl w:val="0"/>
              <w:spacing w:after="0"/>
              <w:ind w:firstLine="600" w:firstLineChars="200"/>
              <w:jc w:val="both"/>
              <w:rPr>
                <w:rFonts w:eastAsia="宋体"/>
                <w:sz w:val="30"/>
                <w:szCs w:val="30"/>
              </w:rPr>
            </w:pPr>
            <w:bookmarkStart w:id="13" w:name="_GoBack"/>
            <w:bookmarkEnd w:id="13"/>
          </w:p>
        </w:tc>
      </w:tr>
      <w:tr w14:paraId="49421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2" w:hRule="atLeast"/>
          <w:jc w:val="center"/>
        </w:trPr>
        <w:tc>
          <w:tcPr>
            <w:tcW w:w="9019" w:type="dxa"/>
            <w:gridSpan w:val="2"/>
          </w:tcPr>
          <w:p w14:paraId="0B94A838">
            <w:pPr>
              <w:widowControl w:val="0"/>
              <w:spacing w:after="0"/>
              <w:jc w:val="both"/>
              <w:rPr>
                <w:rFonts w:eastAsia="宋体"/>
                <w:sz w:val="24"/>
                <w:szCs w:val="20"/>
              </w:rPr>
            </w:pPr>
            <w:r>
              <w:rPr>
                <w:rFonts w:hint="eastAsia" w:eastAsia="宋体"/>
                <w:sz w:val="24"/>
                <w:szCs w:val="20"/>
              </w:rPr>
              <w:t>拟采用的研究方法：</w:t>
            </w:r>
          </w:p>
          <w:p w14:paraId="61061E65">
            <w:pPr>
              <w:widowControl w:val="0"/>
              <w:spacing w:after="0"/>
              <w:jc w:val="both"/>
              <w:rPr>
                <w:rFonts w:eastAsia="宋体"/>
                <w:sz w:val="24"/>
                <w:szCs w:val="20"/>
              </w:rPr>
            </w:pPr>
          </w:p>
          <w:p w14:paraId="42C8EF6B">
            <w:pPr>
              <w:widowControl w:val="0"/>
              <w:numPr>
                <w:ilvl w:val="0"/>
                <w:numId w:val="1"/>
              </w:numPr>
              <w:spacing w:after="0"/>
              <w:jc w:val="both"/>
              <w:rPr>
                <w:rFonts w:eastAsia="宋体"/>
                <w:sz w:val="24"/>
                <w:szCs w:val="20"/>
              </w:rPr>
            </w:pPr>
            <w:r>
              <w:rPr>
                <w:rFonts w:hint="eastAsia" w:ascii="微软雅黑" w:hAnsi="微软雅黑" w:cs="微软雅黑"/>
                <w:sz w:val="24"/>
                <w:szCs w:val="20"/>
              </w:rPr>
              <w:t>文献研究法:</w:t>
            </w:r>
            <w:r>
              <w:rPr>
                <w:rFonts w:hint="eastAsia" w:eastAsia="宋体"/>
                <w:sz w:val="24"/>
                <w:szCs w:val="20"/>
              </w:rPr>
              <w:t>文献研究法是指通过查阅、分析、整理有关文献资料，全面、正确地研究某一问题的方法。它是一种基于已有研究成果和理论基础的研究手段，能够帮助研究者了解研究领域的现状、发展趋势以及存在的问题。</w:t>
            </w:r>
          </w:p>
          <w:p w14:paraId="3195B6D6">
            <w:pPr>
              <w:widowControl w:val="0"/>
              <w:spacing w:after="0"/>
              <w:ind w:firstLine="480" w:firstLineChars="200"/>
              <w:jc w:val="both"/>
              <w:rPr>
                <w:rFonts w:eastAsia="宋体"/>
                <w:sz w:val="24"/>
                <w:szCs w:val="20"/>
              </w:rPr>
            </w:pPr>
            <w:r>
              <w:rPr>
                <w:rFonts w:hint="eastAsia" w:eastAsia="宋体"/>
                <w:sz w:val="24"/>
                <w:szCs w:val="20"/>
              </w:rPr>
              <w:t>①查阅国内外相关文献: 通过查阅国内外关于职业篮球运动员数据分析与可视化的相关文献，了解当前研究现状、技术手段、指标体系等，为本研究的开展提供理论基础和参考。</w:t>
            </w:r>
          </w:p>
          <w:p w14:paraId="5793F6D9">
            <w:pPr>
              <w:widowControl w:val="0"/>
              <w:spacing w:after="0"/>
              <w:ind w:firstLine="480" w:firstLineChars="200"/>
              <w:jc w:val="both"/>
              <w:rPr>
                <w:rFonts w:eastAsia="宋体"/>
                <w:sz w:val="24"/>
                <w:szCs w:val="20"/>
              </w:rPr>
            </w:pPr>
            <w:r>
              <w:rPr>
                <w:rFonts w:hint="eastAsia" w:eastAsia="宋体"/>
                <w:sz w:val="24"/>
                <w:szCs w:val="20"/>
              </w:rPr>
              <w:t>②数据源调研: 调研并确定可靠的数据来源，包括官方网站、第三方数据平台、公开数据集等，为数据获取提供保障。</w:t>
            </w:r>
          </w:p>
          <w:p w14:paraId="6271CB21">
            <w:pPr>
              <w:widowControl w:val="0"/>
              <w:spacing w:after="0"/>
              <w:ind w:firstLine="480" w:firstLineChars="200"/>
              <w:jc w:val="both"/>
              <w:rPr>
                <w:rFonts w:eastAsia="宋体"/>
                <w:sz w:val="24"/>
                <w:szCs w:val="20"/>
              </w:rPr>
            </w:pPr>
            <w:r>
              <w:rPr>
                <w:rFonts w:hint="eastAsia" w:eastAsia="宋体"/>
                <w:sz w:val="24"/>
                <w:szCs w:val="20"/>
              </w:rPr>
              <w:t>③技术选型调研: 调研Python生态系统中适用于数据分析与可视化的库，如Pandas、NumPy、Matplotlib、Seaborn、Plotly等，并根据研究需求选择合适的工具。</w:t>
            </w:r>
          </w:p>
          <w:p w14:paraId="428AAB32">
            <w:pPr>
              <w:widowControl w:val="0"/>
              <w:spacing w:after="0"/>
              <w:jc w:val="both"/>
              <w:rPr>
                <w:rFonts w:eastAsia="宋体"/>
                <w:sz w:val="24"/>
                <w:szCs w:val="20"/>
              </w:rPr>
            </w:pPr>
          </w:p>
          <w:p w14:paraId="5CD680D1">
            <w:pPr>
              <w:widowControl w:val="0"/>
              <w:spacing w:after="0"/>
              <w:jc w:val="both"/>
              <w:rPr>
                <w:rFonts w:eastAsia="宋体"/>
                <w:sz w:val="24"/>
                <w:szCs w:val="20"/>
              </w:rPr>
            </w:pPr>
            <w:r>
              <w:rPr>
                <w:rFonts w:hint="eastAsia" w:eastAsia="宋体"/>
                <w:sz w:val="24"/>
                <w:szCs w:val="20"/>
              </w:rPr>
              <w:t xml:space="preserve">2. </w:t>
            </w:r>
            <w:r>
              <w:rPr>
                <w:rFonts w:hint="eastAsia" w:ascii="微软雅黑" w:hAnsi="微软雅黑" w:cs="微软雅黑"/>
                <w:sz w:val="24"/>
                <w:szCs w:val="20"/>
              </w:rPr>
              <w:t>数据分析法:</w:t>
            </w:r>
            <w:r>
              <w:rPr>
                <w:rFonts w:hint="eastAsia" w:eastAsia="宋体"/>
                <w:sz w:val="24"/>
                <w:szCs w:val="20"/>
              </w:rPr>
              <w:t>数据分析法是指对收集到的数据进行处理、分析和解释，以发现数据中的规律、模式和关系，从而解决问题或支持决策的方法。它包括数据收集、数据清洗、数据处理、数据分析和数据解释等多个环节。</w:t>
            </w:r>
          </w:p>
          <w:p w14:paraId="2C18C218">
            <w:pPr>
              <w:widowControl w:val="0"/>
              <w:spacing w:after="0"/>
              <w:ind w:firstLine="480" w:firstLineChars="200"/>
              <w:jc w:val="both"/>
              <w:rPr>
                <w:rFonts w:eastAsia="宋体"/>
                <w:sz w:val="24"/>
                <w:szCs w:val="20"/>
              </w:rPr>
            </w:pPr>
            <w:r>
              <w:rPr>
                <w:rFonts w:hint="eastAsia" w:eastAsia="宋体"/>
                <w:sz w:val="24"/>
                <w:szCs w:val="20"/>
              </w:rPr>
              <w:t>①数据爬取: 利用Python爬虫技术从选定的数据源获取职业篮球运动员的比赛数据、个人信息等。通过编写爬虫程序，按照一定的规则和流程，自动抓取所需的数据，提高数据获取的效率和准确性。</w:t>
            </w:r>
          </w:p>
          <w:p w14:paraId="4CDAE956">
            <w:pPr>
              <w:widowControl w:val="0"/>
              <w:spacing w:after="0"/>
              <w:ind w:firstLine="480" w:firstLineChars="200"/>
              <w:jc w:val="both"/>
              <w:rPr>
                <w:rFonts w:eastAsia="宋体"/>
                <w:sz w:val="24"/>
                <w:szCs w:val="20"/>
              </w:rPr>
            </w:pPr>
            <w:r>
              <w:rPr>
                <w:rFonts w:hint="eastAsia" w:eastAsia="宋体"/>
                <w:sz w:val="24"/>
                <w:szCs w:val="20"/>
              </w:rPr>
              <w:t>②数据清洗: 使用Pandas库对原始数据进行清洗，处理缺失值、异常值，统一数据格式，并进行数据类型转换，确保数据的准确性和可靠性。</w:t>
            </w:r>
          </w:p>
          <w:p w14:paraId="05366130">
            <w:pPr>
              <w:widowControl w:val="0"/>
              <w:spacing w:after="0"/>
              <w:ind w:firstLine="480" w:firstLineChars="200"/>
              <w:jc w:val="both"/>
              <w:rPr>
                <w:rFonts w:eastAsia="宋体"/>
                <w:sz w:val="24"/>
                <w:szCs w:val="20"/>
              </w:rPr>
            </w:pPr>
            <w:r>
              <w:rPr>
                <w:rFonts w:hint="eastAsia" w:eastAsia="宋体"/>
                <w:sz w:val="24"/>
                <w:szCs w:val="20"/>
              </w:rPr>
              <w:t>③数据存储: 将清洗后的数据存储为结构化格式，如CSV文件或数据库，以便于后续处理和分析。</w:t>
            </w:r>
          </w:p>
          <w:p w14:paraId="123B12DB">
            <w:pPr>
              <w:widowControl w:val="0"/>
              <w:spacing w:after="0"/>
              <w:ind w:firstLine="480" w:firstLineChars="200"/>
              <w:jc w:val="both"/>
              <w:rPr>
                <w:rFonts w:eastAsia="宋体"/>
                <w:sz w:val="24"/>
                <w:szCs w:val="20"/>
              </w:rPr>
            </w:pPr>
            <w:r>
              <w:rPr>
                <w:rFonts w:hint="eastAsia" w:eastAsia="宋体"/>
                <w:sz w:val="24"/>
                <w:szCs w:val="20"/>
              </w:rPr>
              <w:t>④描述性统计分析: 利用Pandas库对球员和球队数据进行描述性统计分析，计算各项指标的均值、方差、最大值、最小值等，初步了解运动员的整体表现。</w:t>
            </w:r>
          </w:p>
          <w:p w14:paraId="7F4F19AC">
            <w:pPr>
              <w:widowControl w:val="0"/>
              <w:spacing w:after="0"/>
              <w:ind w:firstLine="480" w:firstLineChars="200"/>
              <w:jc w:val="both"/>
              <w:rPr>
                <w:rFonts w:eastAsia="宋体"/>
                <w:sz w:val="24"/>
                <w:szCs w:val="20"/>
              </w:rPr>
            </w:pPr>
            <w:r>
              <w:rPr>
                <w:rFonts w:hint="eastAsia" w:eastAsia="宋体"/>
                <w:sz w:val="24"/>
                <w:szCs w:val="20"/>
              </w:rPr>
              <w:t>⑤指标体系构建: 基于篮球比赛的特点，构建包含基础统计指标和高阶数据指标的指标体系，用于评估球员的表现和球队的实力。</w:t>
            </w:r>
          </w:p>
          <w:p w14:paraId="1898CB94">
            <w:pPr>
              <w:widowControl w:val="0"/>
              <w:spacing w:after="0"/>
              <w:ind w:firstLine="480" w:firstLineChars="200"/>
              <w:jc w:val="both"/>
              <w:rPr>
                <w:rFonts w:eastAsia="宋体"/>
                <w:sz w:val="24"/>
                <w:szCs w:val="20"/>
              </w:rPr>
            </w:pPr>
            <w:r>
              <w:rPr>
                <w:rFonts w:hint="eastAsia" w:eastAsia="宋体"/>
                <w:sz w:val="24"/>
                <w:szCs w:val="20"/>
              </w:rPr>
              <w:t>⑥模型选择与构建: 根据研究目标，选择合适的统计模型或机器学习模型，例如线性回归、聚类分析、决策树等，并利用Python进行模型构建和训练。</w:t>
            </w:r>
          </w:p>
          <w:p w14:paraId="38C6BC6A">
            <w:pPr>
              <w:widowControl w:val="0"/>
              <w:spacing w:after="0"/>
              <w:ind w:firstLine="480" w:firstLineChars="200"/>
              <w:jc w:val="both"/>
              <w:rPr>
                <w:rFonts w:eastAsia="宋体"/>
                <w:sz w:val="24"/>
                <w:szCs w:val="20"/>
              </w:rPr>
            </w:pPr>
            <w:r>
              <w:rPr>
                <w:rFonts w:hint="eastAsia" w:eastAsia="宋体"/>
                <w:sz w:val="24"/>
                <w:szCs w:val="20"/>
              </w:rPr>
              <w:t>⑦模型应用: 将构建的模型应用于实际数据，进行球员表现预测、球队实力比较、比赛结果预测等分析。通过模型的应用，挖掘数据背后的价值，为篮球运动的发展提供决策支持。</w:t>
            </w:r>
          </w:p>
          <w:p w14:paraId="3B370B92">
            <w:pPr>
              <w:widowControl w:val="0"/>
              <w:spacing w:after="0"/>
              <w:jc w:val="both"/>
              <w:rPr>
                <w:rFonts w:eastAsia="宋体"/>
                <w:sz w:val="24"/>
                <w:szCs w:val="20"/>
              </w:rPr>
            </w:pPr>
          </w:p>
          <w:p w14:paraId="49C3AA71">
            <w:pPr>
              <w:widowControl w:val="0"/>
              <w:spacing w:after="0"/>
              <w:jc w:val="both"/>
              <w:rPr>
                <w:rFonts w:eastAsia="宋体"/>
                <w:sz w:val="24"/>
                <w:szCs w:val="20"/>
              </w:rPr>
            </w:pPr>
            <w:r>
              <w:rPr>
                <w:rFonts w:hint="eastAsia" w:eastAsia="宋体"/>
                <w:sz w:val="24"/>
                <w:szCs w:val="20"/>
              </w:rPr>
              <w:t>3.</w:t>
            </w:r>
            <w:r>
              <w:rPr>
                <w:rFonts w:hint="eastAsia" w:ascii="微软雅黑" w:hAnsi="微软雅黑" w:cs="微软雅黑"/>
                <w:sz w:val="24"/>
                <w:szCs w:val="20"/>
              </w:rPr>
              <w:t xml:space="preserve"> 数据可视化法</w:t>
            </w:r>
            <w:r>
              <w:rPr>
                <w:rFonts w:hint="eastAsia" w:asciiTheme="minorEastAsia" w:hAnsiTheme="minorEastAsia" w:eastAsiaTheme="minorEastAsia" w:cstheme="minorEastAsia"/>
                <w:sz w:val="24"/>
                <w:szCs w:val="20"/>
              </w:rPr>
              <w:t>:数据可视化法是指将数据以图形、图像等直观的形式展示出来，以便人们更好地理解和分析数据的方法。它能够将复杂的数据转化为直观的视觉信息，帮助人们发现数据中的规律、模式和关系。</w:t>
            </w:r>
          </w:p>
          <w:p w14:paraId="726E990C">
            <w:pPr>
              <w:widowControl w:val="0"/>
              <w:spacing w:after="0"/>
              <w:ind w:firstLine="480" w:firstLineChars="200"/>
              <w:jc w:val="both"/>
              <w:rPr>
                <w:rFonts w:eastAsia="宋体"/>
                <w:sz w:val="24"/>
                <w:szCs w:val="20"/>
              </w:rPr>
            </w:pPr>
            <w:r>
              <w:rPr>
                <w:rFonts w:hint="eastAsia" w:eastAsia="宋体"/>
                <w:sz w:val="24"/>
                <w:szCs w:val="20"/>
              </w:rPr>
              <w:t>①可视化方案设计: 根据分析结果，设计合适的可视化方案，包括图表类型选择、颜色搭配、布局设计等，确保可视化结果的清晰、直观、易懂，能够准确地传达数据所包含的信息。</w:t>
            </w:r>
          </w:p>
          <w:p w14:paraId="17F2660F">
            <w:pPr>
              <w:widowControl w:val="0"/>
              <w:spacing w:after="0"/>
              <w:ind w:firstLine="480" w:firstLineChars="200"/>
              <w:jc w:val="both"/>
              <w:rPr>
                <w:rFonts w:eastAsia="宋体"/>
                <w:sz w:val="24"/>
                <w:szCs w:val="20"/>
              </w:rPr>
            </w:pPr>
            <w:r>
              <w:rPr>
                <w:rFonts w:hint="eastAsia" w:eastAsia="宋体"/>
                <w:sz w:val="24"/>
                <w:szCs w:val="20"/>
              </w:rPr>
              <w:t>②可视化工具应用: 利用spyder、nootbook等绘制静态或交互式可视化图表，通过这些工具的应用，将数据分析结果以直观的图形形式展示出来，方便读者理解和分析。</w:t>
            </w:r>
          </w:p>
        </w:tc>
      </w:tr>
      <w:tr w14:paraId="0893C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9" w:hRule="atLeast"/>
          <w:jc w:val="center"/>
        </w:trPr>
        <w:tc>
          <w:tcPr>
            <w:tcW w:w="9019" w:type="dxa"/>
            <w:gridSpan w:val="2"/>
          </w:tcPr>
          <w:p w14:paraId="081E2840">
            <w:pPr>
              <w:widowControl w:val="0"/>
              <w:spacing w:after="0"/>
              <w:jc w:val="both"/>
              <w:rPr>
                <w:rFonts w:eastAsia="宋体"/>
                <w:sz w:val="24"/>
                <w:szCs w:val="20"/>
              </w:rPr>
            </w:pPr>
            <w:r>
              <w:rPr>
                <w:rFonts w:hint="eastAsia" w:eastAsia="宋体"/>
                <w:sz w:val="24"/>
                <w:szCs w:val="20"/>
              </w:rPr>
              <w:t>完成期限和采取的主要措施（写作进度安排）：</w:t>
            </w:r>
            <w:r>
              <w:rPr>
                <w:rFonts w:eastAsia="宋体"/>
                <w:sz w:val="24"/>
                <w:szCs w:val="20"/>
              </w:rPr>
              <w:t xml:space="preserve"> </w:t>
            </w:r>
          </w:p>
          <w:p w14:paraId="07FAD979">
            <w:pPr>
              <w:widowControl w:val="0"/>
              <w:spacing w:after="0"/>
              <w:jc w:val="both"/>
              <w:rPr>
                <w:rFonts w:eastAsia="宋体"/>
                <w:sz w:val="24"/>
                <w:szCs w:val="20"/>
              </w:rPr>
            </w:pPr>
          </w:p>
          <w:p w14:paraId="3D75AF9A">
            <w:pPr>
              <w:widowControl w:val="0"/>
              <w:spacing w:after="0"/>
              <w:jc w:val="both"/>
              <w:rPr>
                <w:rFonts w:eastAsia="宋体"/>
                <w:sz w:val="24"/>
                <w:szCs w:val="20"/>
              </w:rPr>
            </w:pPr>
            <w:r>
              <w:rPr>
                <w:rFonts w:hint="eastAsia" w:eastAsia="宋体"/>
                <w:sz w:val="24"/>
                <w:szCs w:val="20"/>
              </w:rPr>
              <w:t>2025年4月7日至2025年4月27日，指导老师出题，学生选题。</w:t>
            </w:r>
          </w:p>
          <w:p w14:paraId="66DE8D12">
            <w:pPr>
              <w:widowControl w:val="0"/>
              <w:spacing w:after="0"/>
              <w:jc w:val="both"/>
              <w:rPr>
                <w:rFonts w:eastAsia="宋体"/>
                <w:sz w:val="24"/>
                <w:szCs w:val="20"/>
              </w:rPr>
            </w:pPr>
            <w:r>
              <w:rPr>
                <w:rFonts w:hint="eastAsia" w:eastAsia="宋体"/>
                <w:sz w:val="24"/>
                <w:szCs w:val="20"/>
              </w:rPr>
              <w:t>2025年4月28日至2025年5月18日，任务书提交，开题报告提交。</w:t>
            </w:r>
          </w:p>
          <w:p w14:paraId="02D6DB7C">
            <w:pPr>
              <w:widowControl w:val="0"/>
              <w:spacing w:after="0"/>
              <w:jc w:val="both"/>
              <w:rPr>
                <w:rFonts w:eastAsia="宋体"/>
                <w:sz w:val="24"/>
                <w:szCs w:val="20"/>
              </w:rPr>
            </w:pPr>
            <w:r>
              <w:rPr>
                <w:rFonts w:eastAsia="宋体"/>
                <w:sz w:val="24"/>
                <w:szCs w:val="20"/>
              </w:rPr>
              <w:t>2025年</w:t>
            </w:r>
            <w:r>
              <w:rPr>
                <w:rFonts w:hint="eastAsia" w:eastAsia="宋体"/>
                <w:sz w:val="24"/>
                <w:szCs w:val="20"/>
              </w:rPr>
              <w:t>5</w:t>
            </w:r>
            <w:r>
              <w:rPr>
                <w:rFonts w:eastAsia="宋体"/>
                <w:sz w:val="24"/>
                <w:szCs w:val="20"/>
              </w:rPr>
              <w:t>月</w:t>
            </w:r>
            <w:r>
              <w:rPr>
                <w:rFonts w:hint="eastAsia" w:eastAsia="宋体"/>
                <w:sz w:val="24"/>
                <w:szCs w:val="20"/>
              </w:rPr>
              <w:t>19</w:t>
            </w:r>
            <w:r>
              <w:rPr>
                <w:rFonts w:eastAsia="宋体"/>
                <w:sz w:val="24"/>
                <w:szCs w:val="20"/>
              </w:rPr>
              <w:t>日至2025年5月</w:t>
            </w:r>
            <w:r>
              <w:rPr>
                <w:rFonts w:hint="eastAsia" w:eastAsia="宋体"/>
                <w:sz w:val="24"/>
                <w:szCs w:val="20"/>
              </w:rPr>
              <w:t>25</w:t>
            </w:r>
            <w:r>
              <w:rPr>
                <w:rFonts w:eastAsia="宋体"/>
                <w:sz w:val="24"/>
                <w:szCs w:val="20"/>
              </w:rPr>
              <w:t>日</w:t>
            </w:r>
            <w:r>
              <w:rPr>
                <w:rFonts w:hint="eastAsia" w:eastAsia="宋体"/>
                <w:sz w:val="24"/>
                <w:szCs w:val="20"/>
              </w:rPr>
              <w:t>，开题答辩。</w:t>
            </w:r>
          </w:p>
          <w:p w14:paraId="07AEE5C3">
            <w:pPr>
              <w:widowControl w:val="0"/>
              <w:spacing w:after="0"/>
              <w:jc w:val="both"/>
              <w:rPr>
                <w:rFonts w:eastAsia="宋体"/>
                <w:sz w:val="24"/>
                <w:szCs w:val="20"/>
              </w:rPr>
            </w:pPr>
            <w:r>
              <w:rPr>
                <w:rFonts w:hint="eastAsia" w:eastAsia="宋体"/>
                <w:sz w:val="24"/>
                <w:szCs w:val="20"/>
              </w:rPr>
              <w:t>2025年5月26日至2025年6月29日，一稿撰写，完成论文框架搭建及核心章节概要写作。</w:t>
            </w:r>
          </w:p>
          <w:p w14:paraId="5BB128C8">
            <w:pPr>
              <w:widowControl w:val="0"/>
              <w:spacing w:after="0"/>
              <w:jc w:val="both"/>
              <w:rPr>
                <w:rFonts w:eastAsia="宋体"/>
                <w:sz w:val="24"/>
                <w:szCs w:val="20"/>
              </w:rPr>
            </w:pPr>
            <w:r>
              <w:rPr>
                <w:rFonts w:hint="eastAsia" w:eastAsia="宋体"/>
                <w:sz w:val="24"/>
                <w:szCs w:val="20"/>
              </w:rPr>
              <w:t>2025年6月30日至2025年9月21日，完成课题研究，进行二稿修改。</w:t>
            </w:r>
          </w:p>
          <w:p w14:paraId="3676614E">
            <w:pPr>
              <w:widowControl w:val="0"/>
              <w:spacing w:after="0"/>
              <w:jc w:val="both"/>
              <w:rPr>
                <w:rFonts w:eastAsia="宋体"/>
                <w:sz w:val="24"/>
                <w:szCs w:val="20"/>
              </w:rPr>
            </w:pPr>
            <w:r>
              <w:rPr>
                <w:rFonts w:hint="eastAsia" w:eastAsia="宋体"/>
                <w:sz w:val="24"/>
                <w:szCs w:val="20"/>
              </w:rPr>
              <w:t>2025年9月22日至2025年9月28日，中期检查。</w:t>
            </w:r>
          </w:p>
          <w:p w14:paraId="767FC406">
            <w:pPr>
              <w:widowControl w:val="0"/>
              <w:spacing w:after="0"/>
              <w:jc w:val="both"/>
              <w:rPr>
                <w:rFonts w:eastAsia="宋体"/>
                <w:sz w:val="24"/>
                <w:szCs w:val="20"/>
              </w:rPr>
            </w:pPr>
            <w:r>
              <w:rPr>
                <w:rFonts w:hint="eastAsia" w:eastAsia="宋体"/>
                <w:sz w:val="24"/>
                <w:szCs w:val="20"/>
              </w:rPr>
              <w:t>2025年9月29日至2025年10月12日，定稿提交，完成格式调整、查重及导师终审。</w:t>
            </w:r>
          </w:p>
          <w:p w14:paraId="1E902074">
            <w:pPr>
              <w:widowControl w:val="0"/>
              <w:spacing w:after="0"/>
              <w:jc w:val="both"/>
              <w:rPr>
                <w:rFonts w:eastAsia="宋体"/>
                <w:sz w:val="24"/>
                <w:szCs w:val="20"/>
              </w:rPr>
            </w:pPr>
            <w:r>
              <w:rPr>
                <w:rFonts w:hint="eastAsia" w:eastAsia="宋体"/>
                <w:sz w:val="24"/>
                <w:szCs w:val="20"/>
              </w:rPr>
              <w:t>2025年10月13日至2025年10月19日，论文评阅。</w:t>
            </w:r>
          </w:p>
          <w:p w14:paraId="1A39C8CD">
            <w:pPr>
              <w:widowControl w:val="0"/>
              <w:spacing w:after="0"/>
              <w:jc w:val="both"/>
              <w:rPr>
                <w:rFonts w:eastAsia="宋体"/>
                <w:sz w:val="24"/>
                <w:szCs w:val="20"/>
              </w:rPr>
            </w:pPr>
            <w:r>
              <w:rPr>
                <w:rFonts w:hint="eastAsia" w:eastAsia="宋体"/>
                <w:sz w:val="24"/>
                <w:szCs w:val="20"/>
              </w:rPr>
              <w:t>2025年10月20日至2025年10月26日，论文答辩。</w:t>
            </w:r>
          </w:p>
          <w:p w14:paraId="35D91EF7">
            <w:pPr>
              <w:widowControl w:val="0"/>
              <w:spacing w:after="0"/>
              <w:jc w:val="both"/>
              <w:rPr>
                <w:rFonts w:eastAsia="宋体"/>
                <w:sz w:val="24"/>
                <w:szCs w:val="20"/>
              </w:rPr>
            </w:pPr>
            <w:r>
              <w:rPr>
                <w:rFonts w:hint="eastAsia" w:eastAsia="宋体"/>
                <w:sz w:val="24"/>
                <w:szCs w:val="20"/>
              </w:rPr>
              <w:t>2025年10月27日至2025年11月2日，终稿提交。</w:t>
            </w:r>
          </w:p>
          <w:p w14:paraId="6585AFF0">
            <w:pPr>
              <w:widowControl w:val="0"/>
              <w:spacing w:after="0"/>
              <w:jc w:val="both"/>
              <w:rPr>
                <w:rFonts w:eastAsia="宋体"/>
                <w:sz w:val="24"/>
                <w:szCs w:val="20"/>
              </w:rPr>
            </w:pPr>
          </w:p>
          <w:p w14:paraId="54BB6B98">
            <w:pPr>
              <w:widowControl w:val="0"/>
              <w:spacing w:after="0"/>
              <w:jc w:val="both"/>
              <w:rPr>
                <w:rFonts w:eastAsia="宋体"/>
                <w:sz w:val="24"/>
                <w:szCs w:val="20"/>
              </w:rPr>
            </w:pPr>
          </w:p>
          <w:p w14:paraId="351B8527">
            <w:pPr>
              <w:widowControl w:val="0"/>
              <w:spacing w:after="0"/>
              <w:jc w:val="both"/>
              <w:rPr>
                <w:rFonts w:eastAsia="宋体"/>
                <w:sz w:val="24"/>
                <w:szCs w:val="20"/>
              </w:rPr>
            </w:pPr>
          </w:p>
          <w:p w14:paraId="7BD00853">
            <w:pPr>
              <w:widowControl w:val="0"/>
              <w:spacing w:after="0"/>
              <w:jc w:val="both"/>
              <w:rPr>
                <w:rFonts w:eastAsia="宋体"/>
                <w:sz w:val="24"/>
                <w:szCs w:val="20"/>
              </w:rPr>
            </w:pPr>
          </w:p>
          <w:p w14:paraId="76DC4C37">
            <w:pPr>
              <w:widowControl w:val="0"/>
              <w:spacing w:after="0"/>
              <w:jc w:val="both"/>
              <w:rPr>
                <w:rFonts w:eastAsia="宋体"/>
                <w:sz w:val="24"/>
                <w:szCs w:val="20"/>
              </w:rPr>
            </w:pPr>
          </w:p>
          <w:p w14:paraId="7C64C1C1">
            <w:pPr>
              <w:widowControl w:val="0"/>
              <w:spacing w:after="0"/>
              <w:jc w:val="both"/>
              <w:rPr>
                <w:rFonts w:eastAsia="宋体"/>
                <w:sz w:val="24"/>
                <w:szCs w:val="20"/>
              </w:rPr>
            </w:pPr>
          </w:p>
          <w:p w14:paraId="4069F8FB">
            <w:pPr>
              <w:widowControl w:val="0"/>
              <w:spacing w:after="0"/>
              <w:jc w:val="both"/>
              <w:rPr>
                <w:rFonts w:eastAsia="宋体"/>
                <w:sz w:val="24"/>
                <w:szCs w:val="20"/>
              </w:rPr>
            </w:pPr>
          </w:p>
          <w:p w14:paraId="3C81965E">
            <w:pPr>
              <w:widowControl w:val="0"/>
              <w:spacing w:after="0"/>
              <w:jc w:val="both"/>
              <w:rPr>
                <w:rFonts w:eastAsia="宋体"/>
                <w:sz w:val="24"/>
                <w:szCs w:val="20"/>
              </w:rPr>
            </w:pPr>
          </w:p>
          <w:p w14:paraId="52725E2D">
            <w:pPr>
              <w:widowControl w:val="0"/>
              <w:spacing w:after="0"/>
              <w:jc w:val="both"/>
              <w:rPr>
                <w:rFonts w:eastAsia="宋体"/>
                <w:sz w:val="24"/>
                <w:szCs w:val="20"/>
              </w:rPr>
            </w:pPr>
          </w:p>
        </w:tc>
      </w:tr>
      <w:tr w14:paraId="22829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9" w:hRule="atLeast"/>
          <w:jc w:val="center"/>
        </w:trPr>
        <w:tc>
          <w:tcPr>
            <w:tcW w:w="9019" w:type="dxa"/>
            <w:gridSpan w:val="2"/>
          </w:tcPr>
          <w:p w14:paraId="299A6A97">
            <w:pPr>
              <w:widowControl w:val="0"/>
              <w:spacing w:after="0"/>
              <w:ind w:left="480" w:hanging="480" w:hangingChars="200"/>
              <w:jc w:val="both"/>
              <w:rPr>
                <w:rFonts w:eastAsia="宋体"/>
                <w:sz w:val="24"/>
                <w:szCs w:val="20"/>
              </w:rPr>
            </w:pPr>
            <w:r>
              <w:rPr>
                <w:rFonts w:hint="eastAsia" w:eastAsia="宋体"/>
                <w:sz w:val="24"/>
                <w:szCs w:val="20"/>
              </w:rPr>
              <w:t>主要参考文献（参考文献须在</w:t>
            </w:r>
            <w:r>
              <w:rPr>
                <w:rFonts w:hint="eastAsia" w:ascii="Times New Roman" w:hAnsi="Times New Roman" w:eastAsia="宋体"/>
                <w:sz w:val="24"/>
                <w:szCs w:val="20"/>
              </w:rPr>
              <w:t>15篇</w:t>
            </w:r>
            <w:r>
              <w:rPr>
                <w:rFonts w:hint="eastAsia" w:eastAsia="宋体"/>
                <w:sz w:val="24"/>
                <w:szCs w:val="20"/>
              </w:rPr>
              <w:t>以上，其中应包含至少</w:t>
            </w:r>
            <w:r>
              <w:rPr>
                <w:rFonts w:hint="eastAsia" w:ascii="Times New Roman" w:hAnsi="Times New Roman" w:eastAsia="宋体"/>
                <w:sz w:val="24"/>
                <w:szCs w:val="20"/>
              </w:rPr>
              <w:t>2</w:t>
            </w:r>
            <w:r>
              <w:rPr>
                <w:rFonts w:hint="eastAsia" w:eastAsia="宋体"/>
                <w:sz w:val="24"/>
                <w:szCs w:val="20"/>
              </w:rPr>
              <w:t>篇外文、</w:t>
            </w:r>
            <w:r>
              <w:rPr>
                <w:rFonts w:hint="eastAsia" w:ascii="Times New Roman" w:hAnsi="Times New Roman" w:eastAsia="宋体"/>
                <w:sz w:val="24"/>
                <w:szCs w:val="20"/>
              </w:rPr>
              <w:t>2</w:t>
            </w:r>
            <w:r>
              <w:rPr>
                <w:rFonts w:hint="eastAsia" w:eastAsia="宋体"/>
                <w:sz w:val="24"/>
                <w:szCs w:val="20"/>
              </w:rPr>
              <w:t>篇近</w:t>
            </w:r>
            <w:r>
              <w:rPr>
                <w:rFonts w:hint="eastAsia" w:ascii="Times New Roman" w:hAnsi="Times New Roman" w:eastAsia="宋体"/>
                <w:sz w:val="24"/>
                <w:szCs w:val="20"/>
              </w:rPr>
              <w:t>2</w:t>
            </w:r>
            <w:r>
              <w:rPr>
                <w:rFonts w:hint="eastAsia" w:eastAsia="宋体"/>
                <w:sz w:val="24"/>
                <w:szCs w:val="20"/>
              </w:rPr>
              <w:t>年内的文献，外语类论文外文文献不少于</w:t>
            </w:r>
            <w:r>
              <w:rPr>
                <w:rFonts w:ascii="Times New Roman" w:hAnsi="Times New Roman" w:eastAsia="宋体"/>
                <w:sz w:val="24"/>
                <w:szCs w:val="20"/>
              </w:rPr>
              <w:t>5</w:t>
            </w:r>
            <w:r>
              <w:rPr>
                <w:rFonts w:hint="eastAsia" w:eastAsia="宋体"/>
                <w:sz w:val="24"/>
                <w:szCs w:val="20"/>
              </w:rPr>
              <w:t>篇）：</w:t>
            </w:r>
            <w:r>
              <w:rPr>
                <w:rFonts w:eastAsia="宋体"/>
                <w:sz w:val="24"/>
                <w:szCs w:val="20"/>
              </w:rPr>
              <w:t xml:space="preserve"> </w:t>
            </w:r>
          </w:p>
          <w:p w14:paraId="23F7EEC3">
            <w:pPr>
              <w:widowControl w:val="0"/>
              <w:spacing w:after="0"/>
              <w:jc w:val="both"/>
              <w:rPr>
                <w:rFonts w:eastAsia="宋体"/>
                <w:sz w:val="24"/>
                <w:szCs w:val="20"/>
              </w:rPr>
            </w:pPr>
          </w:p>
          <w:p w14:paraId="798F6263">
            <w:pPr>
              <w:widowControl w:val="0"/>
              <w:numPr>
                <w:ilvl w:val="0"/>
                <w:numId w:val="2"/>
              </w:numPr>
              <w:spacing w:after="0"/>
              <w:jc w:val="both"/>
              <w:rPr>
                <w:rFonts w:eastAsia="宋体"/>
                <w:sz w:val="24"/>
                <w:szCs w:val="20"/>
              </w:rPr>
            </w:pPr>
            <w:r>
              <w:rPr>
                <w:rFonts w:hint="eastAsia" w:eastAsia="宋体"/>
                <w:sz w:val="24"/>
                <w:szCs w:val="20"/>
              </w:rPr>
              <w:t>陈传亮,杜丛新,刘凤杰.职业篮球运动员聘用合同的法律性质与法律适用研究——以CBA国内球员聘用合同为例[J].武汉体育学院学报,2025,59(04):41-48.DOI:10.15930/j.cnki.wtxb.2025.04.004.</w:t>
            </w:r>
          </w:p>
          <w:p w14:paraId="0CBE6EF9">
            <w:pPr>
              <w:widowControl w:val="0"/>
              <w:numPr>
                <w:ilvl w:val="0"/>
                <w:numId w:val="2"/>
              </w:numPr>
              <w:spacing w:after="0"/>
              <w:jc w:val="both"/>
              <w:rPr>
                <w:rFonts w:eastAsia="宋体"/>
                <w:sz w:val="24"/>
                <w:szCs w:val="20"/>
              </w:rPr>
            </w:pPr>
            <w:r>
              <w:rPr>
                <w:rFonts w:hint="eastAsia" w:eastAsia="宋体"/>
                <w:sz w:val="24"/>
                <w:szCs w:val="20"/>
              </w:rPr>
              <w:t>桑培虎,崔国文,韩重阳.中国职业篮球运动员国家认同意识的培养路径研究[C]//中国体育科学学会.第九届中国体育博士高层论坛论文摘要集.河南体育学院;天津体育学院;天津医科大学;,2024:211-212.DOI:10.26914/c.cnkihy.2024.073641.</w:t>
            </w:r>
          </w:p>
          <w:p w14:paraId="00B3F571">
            <w:pPr>
              <w:widowControl w:val="0"/>
              <w:numPr>
                <w:ilvl w:val="0"/>
                <w:numId w:val="2"/>
              </w:numPr>
              <w:spacing w:after="0"/>
              <w:jc w:val="both"/>
              <w:rPr>
                <w:rFonts w:eastAsia="宋体"/>
                <w:sz w:val="24"/>
                <w:szCs w:val="20"/>
              </w:rPr>
            </w:pPr>
            <w:r>
              <w:rPr>
                <w:rFonts w:hint="eastAsia" w:eastAsia="宋体"/>
                <w:sz w:val="24"/>
                <w:szCs w:val="20"/>
              </w:rPr>
              <w:t>谭小勇,李烨欣.我国职业篮球运动员工会的建立：NBPA镜鉴与本土选择[J].体育科研,2023,44(06):56-63.</w:t>
            </w:r>
          </w:p>
          <w:p w14:paraId="12DB9F42">
            <w:pPr>
              <w:widowControl w:val="0"/>
              <w:numPr>
                <w:ilvl w:val="0"/>
                <w:numId w:val="2"/>
              </w:numPr>
              <w:spacing w:after="0"/>
              <w:jc w:val="both"/>
              <w:rPr>
                <w:rFonts w:eastAsia="宋体"/>
                <w:sz w:val="24"/>
                <w:szCs w:val="20"/>
              </w:rPr>
            </w:pPr>
            <w:bookmarkStart w:id="0" w:name="_Ref198307800"/>
            <w:r>
              <w:rPr>
                <w:rFonts w:hint="eastAsia" w:eastAsia="宋体"/>
                <w:sz w:val="24"/>
                <w:szCs w:val="20"/>
              </w:rPr>
              <w:t>崔佳琦.我国职业篮球运动员转会核心利益相关者博弈困境及协调机制研究[D].东北师范大学,2023.DOI:10.27011/d.cnki.gdbsu.2023.000171.</w:t>
            </w:r>
            <w:bookmarkEnd w:id="0"/>
          </w:p>
          <w:p w14:paraId="0E796B17">
            <w:pPr>
              <w:widowControl w:val="0"/>
              <w:numPr>
                <w:ilvl w:val="0"/>
                <w:numId w:val="2"/>
              </w:numPr>
              <w:spacing w:after="0"/>
              <w:jc w:val="both"/>
              <w:rPr>
                <w:rFonts w:eastAsia="宋体"/>
                <w:sz w:val="24"/>
                <w:szCs w:val="20"/>
              </w:rPr>
            </w:pPr>
            <w:r>
              <w:rPr>
                <w:rFonts w:hint="eastAsia" w:eastAsia="宋体"/>
                <w:sz w:val="24"/>
                <w:szCs w:val="20"/>
              </w:rPr>
              <w:t>尹亮亮.国际职业篮球运动员社会流动的时空特征研究[D].武汉体育学院,2023.DOI:10.27384/d.cnki.gwhtc.2023.000067.</w:t>
            </w:r>
          </w:p>
          <w:p w14:paraId="630E149A">
            <w:pPr>
              <w:widowControl w:val="0"/>
              <w:numPr>
                <w:ilvl w:val="0"/>
                <w:numId w:val="2"/>
              </w:numPr>
              <w:spacing w:after="0"/>
              <w:jc w:val="both"/>
              <w:rPr>
                <w:rFonts w:eastAsia="宋体"/>
                <w:sz w:val="24"/>
                <w:szCs w:val="20"/>
              </w:rPr>
            </w:pPr>
            <w:r>
              <w:rPr>
                <w:rFonts w:hint="eastAsia" w:eastAsia="宋体"/>
                <w:sz w:val="24"/>
                <w:szCs w:val="20"/>
              </w:rPr>
              <w:t>刘旋凯.运动性心理疲劳对职业篮球运动员罚球命中率的影响研究[C]//中国体育科学学会运动心理学分会,中国心理学会体育运动心理专业委员会,天津市体育科学学会,天津市心理学会.第十二届全国运动心理学学术会议论文摘要汇编.北京体育大学中国篮球运动学院;,2023:114-115.DOI:10.26914/c.cnkihy.2023.014180.</w:t>
            </w:r>
          </w:p>
          <w:p w14:paraId="2E3945D4">
            <w:pPr>
              <w:widowControl w:val="0"/>
              <w:numPr>
                <w:ilvl w:val="0"/>
                <w:numId w:val="2"/>
              </w:numPr>
              <w:spacing w:after="0"/>
              <w:jc w:val="both"/>
              <w:rPr>
                <w:rFonts w:eastAsia="宋体"/>
                <w:sz w:val="24"/>
                <w:szCs w:val="20"/>
              </w:rPr>
            </w:pPr>
            <w:bookmarkStart w:id="1" w:name="_Ref198307760"/>
            <w:r>
              <w:rPr>
                <w:rFonts w:hint="eastAsia" w:eastAsia="宋体"/>
                <w:sz w:val="24"/>
                <w:szCs w:val="20"/>
              </w:rPr>
              <w:t>刘炳泉.大数据技术对CBA赛事的影响[J].当代体育科技,2022,12(35):89-92.DOI:10.16655/j.cnki.2095-2813.2211-1579-9574.</w:t>
            </w:r>
            <w:bookmarkEnd w:id="1"/>
          </w:p>
          <w:p w14:paraId="6638AB22">
            <w:pPr>
              <w:widowControl w:val="0"/>
              <w:numPr>
                <w:ilvl w:val="0"/>
                <w:numId w:val="2"/>
              </w:numPr>
              <w:spacing w:after="0"/>
              <w:jc w:val="both"/>
              <w:rPr>
                <w:rFonts w:eastAsia="宋体"/>
                <w:sz w:val="24"/>
                <w:szCs w:val="20"/>
              </w:rPr>
            </w:pPr>
            <w:bookmarkStart w:id="2" w:name="_Ref198307652"/>
            <w:r>
              <w:rPr>
                <w:rFonts w:hint="eastAsia" w:eastAsia="宋体"/>
                <w:sz w:val="24"/>
                <w:szCs w:val="20"/>
              </w:rPr>
              <w:t>刘玉豪,龚闯.NBA不同水平篮球运动员职业生涯比赛相关数据的长期分析[C]//中国体育科学学会.第十二届全国体育科学大会论文摘要汇编——墙报交流（体育统计分会）.北京体育大学;,2022:89-91.DOI:10.26914/c.cnkihy.2022.009876.</w:t>
            </w:r>
            <w:bookmarkEnd w:id="2"/>
          </w:p>
          <w:p w14:paraId="270A1E61">
            <w:pPr>
              <w:widowControl w:val="0"/>
              <w:numPr>
                <w:ilvl w:val="0"/>
                <w:numId w:val="2"/>
              </w:numPr>
              <w:spacing w:after="0"/>
              <w:jc w:val="both"/>
              <w:rPr>
                <w:rFonts w:eastAsia="宋体"/>
                <w:sz w:val="24"/>
                <w:szCs w:val="20"/>
              </w:rPr>
            </w:pPr>
            <w:bookmarkStart w:id="3" w:name="_Ref198307791"/>
            <w:r>
              <w:rPr>
                <w:rFonts w:hint="eastAsia" w:eastAsia="宋体"/>
                <w:sz w:val="24"/>
                <w:szCs w:val="20"/>
              </w:rPr>
              <w:t>黄亚男,丁金娜,陈嘉,等.论中国高校篮球联赛与职业篮球联赛人才输送现状的对比分析[C]//中国体育科学学会.第十二届全国体育科学大会论文摘要汇编——墙报交流（学校体育分会）.宁波大学;威海一中;,2022:1576-1578.DOI:10.26914/c.cnkihy.2022.011005.</w:t>
            </w:r>
            <w:bookmarkEnd w:id="3"/>
          </w:p>
          <w:p w14:paraId="4A3C3FB6">
            <w:pPr>
              <w:widowControl w:val="0"/>
              <w:numPr>
                <w:ilvl w:val="0"/>
                <w:numId w:val="2"/>
              </w:numPr>
              <w:spacing w:after="0"/>
              <w:jc w:val="both"/>
              <w:rPr>
                <w:rFonts w:eastAsia="宋体"/>
                <w:sz w:val="24"/>
                <w:szCs w:val="20"/>
              </w:rPr>
            </w:pPr>
            <w:bookmarkStart w:id="4" w:name="_Ref198307815"/>
            <w:r>
              <w:rPr>
                <w:rFonts w:hint="eastAsia" w:eastAsia="宋体"/>
                <w:sz w:val="24"/>
                <w:szCs w:val="20"/>
              </w:rPr>
              <w:t>刘孟璠.篮球高水平运动队数据整理与运用的思考[J].运动精品,2022,41(02):114-116.</w:t>
            </w:r>
            <w:bookmarkEnd w:id="4"/>
          </w:p>
          <w:p w14:paraId="0465061B">
            <w:pPr>
              <w:widowControl w:val="0"/>
              <w:numPr>
                <w:ilvl w:val="0"/>
                <w:numId w:val="2"/>
              </w:numPr>
              <w:spacing w:after="0"/>
              <w:jc w:val="both"/>
              <w:rPr>
                <w:rFonts w:eastAsia="宋体"/>
                <w:sz w:val="24"/>
                <w:szCs w:val="20"/>
              </w:rPr>
            </w:pPr>
            <w:r>
              <w:rPr>
                <w:rFonts w:hint="eastAsia" w:eastAsia="宋体"/>
                <w:sz w:val="24"/>
                <w:szCs w:val="20"/>
              </w:rPr>
              <w:t>陆广,周贤江,薛峰,等.美国职业篮球运动员协会的运行机制探究与启示[J].湖北体育科技,2021,40(10):867-871.</w:t>
            </w:r>
          </w:p>
          <w:p w14:paraId="32A7FD3F">
            <w:pPr>
              <w:widowControl w:val="0"/>
              <w:numPr>
                <w:ilvl w:val="0"/>
                <w:numId w:val="2"/>
              </w:numPr>
              <w:spacing w:after="0"/>
              <w:jc w:val="both"/>
              <w:rPr>
                <w:rFonts w:eastAsia="宋体"/>
                <w:sz w:val="24"/>
                <w:szCs w:val="20"/>
              </w:rPr>
            </w:pPr>
            <w:r>
              <w:rPr>
                <w:rFonts w:hint="eastAsia" w:eastAsia="宋体"/>
                <w:sz w:val="24"/>
                <w:szCs w:val="20"/>
              </w:rPr>
              <w:t>陆广.我国职业篮球运动员协会构建研究：域外经验与本土设计[D].武汉体育学院,2021.DOI:10.27384/d.cnki.gwhtc.2021.000354.</w:t>
            </w:r>
          </w:p>
          <w:p w14:paraId="71AB1FA4">
            <w:pPr>
              <w:widowControl w:val="0"/>
              <w:numPr>
                <w:ilvl w:val="0"/>
                <w:numId w:val="2"/>
              </w:numPr>
              <w:spacing w:after="0"/>
              <w:jc w:val="both"/>
              <w:rPr>
                <w:rFonts w:eastAsia="宋体"/>
                <w:sz w:val="24"/>
                <w:szCs w:val="20"/>
              </w:rPr>
            </w:pPr>
            <w:r>
              <w:rPr>
                <w:rFonts w:hint="eastAsia" w:eastAsia="宋体"/>
                <w:sz w:val="24"/>
                <w:szCs w:val="20"/>
              </w:rPr>
              <w:t>邵兴泰.职业篮球运动员转型CUBA教练员专业能力提升的研究[D].北京体育大学,2020.DOI:10.26961/d.cnki.gbjtu.2020.000632.</w:t>
            </w:r>
          </w:p>
          <w:p w14:paraId="4CE9DAE7">
            <w:pPr>
              <w:widowControl w:val="0"/>
              <w:numPr>
                <w:ilvl w:val="0"/>
                <w:numId w:val="2"/>
              </w:numPr>
              <w:spacing w:after="0"/>
              <w:jc w:val="both"/>
              <w:rPr>
                <w:rFonts w:eastAsia="宋体"/>
                <w:sz w:val="24"/>
                <w:szCs w:val="20"/>
              </w:rPr>
            </w:pPr>
            <w:bookmarkStart w:id="5" w:name="_Ref7499"/>
            <w:r>
              <w:rPr>
                <w:rFonts w:hint="eastAsia" w:eastAsia="宋体"/>
                <w:sz w:val="24"/>
                <w:szCs w:val="20"/>
              </w:rPr>
              <w:t>李成梁.我国职业篮球运动员的自我管理研究[J].北京体育大学学报,2018,41(07):111-118.DOI:10.19582/j.cnki.11-3785/g8.2018.07.015.</w:t>
            </w:r>
            <w:bookmarkEnd w:id="5"/>
          </w:p>
          <w:p w14:paraId="427FA15D">
            <w:pPr>
              <w:widowControl w:val="0"/>
              <w:numPr>
                <w:ilvl w:val="0"/>
                <w:numId w:val="2"/>
              </w:numPr>
              <w:spacing w:after="0"/>
              <w:jc w:val="both"/>
              <w:rPr>
                <w:rFonts w:eastAsia="宋体"/>
                <w:sz w:val="24"/>
                <w:szCs w:val="20"/>
              </w:rPr>
            </w:pPr>
            <w:r>
              <w:rPr>
                <w:rFonts w:hint="eastAsia" w:eastAsia="宋体"/>
                <w:sz w:val="24"/>
                <w:szCs w:val="20"/>
              </w:rPr>
              <w:t>辛松和.基于俱乐部、运动员委托代理的我国职业篮球运动员转会制度研究[J].西安体育学院学报,2018,35(02):157-163.DOI:10.16063/j.cnki.issn1001-747x.2018.02.004.</w:t>
            </w:r>
          </w:p>
          <w:p w14:paraId="355E57A2">
            <w:pPr>
              <w:widowControl w:val="0"/>
              <w:numPr>
                <w:ilvl w:val="0"/>
                <w:numId w:val="2"/>
              </w:numPr>
              <w:spacing w:after="0"/>
              <w:jc w:val="both"/>
              <w:rPr>
                <w:rFonts w:eastAsia="宋体"/>
                <w:sz w:val="24"/>
                <w:szCs w:val="20"/>
              </w:rPr>
            </w:pPr>
            <w:bookmarkStart w:id="6" w:name="_Ref198307771"/>
            <w:r>
              <w:rPr>
                <w:rFonts w:hint="eastAsia" w:eastAsia="宋体"/>
                <w:sz w:val="24"/>
                <w:szCs w:val="20"/>
              </w:rPr>
              <w:t>赵述强,李向前,张元锋,等.我国职业篮球运动员体能指标体系研究[J].体育文化导刊,2017,(04):102-106+112.</w:t>
            </w:r>
            <w:bookmarkEnd w:id="6"/>
          </w:p>
          <w:p w14:paraId="7F54BC70">
            <w:pPr>
              <w:widowControl w:val="0"/>
              <w:numPr>
                <w:ilvl w:val="0"/>
                <w:numId w:val="2"/>
              </w:numPr>
              <w:spacing w:after="0"/>
              <w:jc w:val="both"/>
              <w:rPr>
                <w:rFonts w:eastAsia="宋体"/>
                <w:sz w:val="24"/>
                <w:szCs w:val="20"/>
              </w:rPr>
            </w:pPr>
            <w:r>
              <w:rPr>
                <w:rFonts w:hint="eastAsia" w:eastAsia="宋体"/>
                <w:sz w:val="24"/>
                <w:szCs w:val="20"/>
              </w:rPr>
              <w:t>辛松和.契约理论视域下我国职业篮球运动员流动制度研究[D].福建师范大学,2016.DOI:10.27019/d.cnki.gfjsu.2016.000011.</w:t>
            </w:r>
          </w:p>
          <w:p w14:paraId="70CE05AD">
            <w:pPr>
              <w:widowControl w:val="0"/>
              <w:numPr>
                <w:ilvl w:val="0"/>
                <w:numId w:val="2"/>
              </w:numPr>
              <w:spacing w:after="0"/>
              <w:jc w:val="both"/>
              <w:rPr>
                <w:rFonts w:eastAsia="宋体"/>
                <w:sz w:val="24"/>
                <w:szCs w:val="20"/>
              </w:rPr>
            </w:pPr>
            <w:r>
              <w:rPr>
                <w:rFonts w:hint="eastAsia" w:eastAsia="宋体"/>
                <w:sz w:val="24"/>
                <w:szCs w:val="20"/>
              </w:rPr>
              <w:t>李成梁.我国职业篮球运动员自我管理研究[D].北京体育大学,2016.DOI:10.26961/d.cnki.gbjtu.2016.000005.</w:t>
            </w:r>
          </w:p>
          <w:p w14:paraId="2ABCBAC1">
            <w:pPr>
              <w:widowControl w:val="0"/>
              <w:numPr>
                <w:ilvl w:val="0"/>
                <w:numId w:val="2"/>
              </w:numPr>
              <w:spacing w:after="0"/>
              <w:jc w:val="both"/>
              <w:rPr>
                <w:rFonts w:eastAsia="宋体"/>
                <w:sz w:val="24"/>
                <w:szCs w:val="20"/>
              </w:rPr>
            </w:pPr>
            <w:r>
              <w:rPr>
                <w:rFonts w:hint="eastAsia" w:eastAsia="宋体"/>
                <w:sz w:val="24"/>
                <w:szCs w:val="20"/>
              </w:rPr>
              <w:t>马名扬.CBA运动员操守表现评价指标体系的建立[D].北京体育大学,2016.</w:t>
            </w:r>
          </w:p>
          <w:p w14:paraId="25555029">
            <w:pPr>
              <w:widowControl w:val="0"/>
              <w:numPr>
                <w:ilvl w:val="0"/>
                <w:numId w:val="2"/>
              </w:numPr>
              <w:spacing w:after="0"/>
              <w:jc w:val="both"/>
              <w:rPr>
                <w:rFonts w:eastAsia="宋体"/>
                <w:sz w:val="24"/>
                <w:szCs w:val="20"/>
              </w:rPr>
            </w:pPr>
            <w:r>
              <w:rPr>
                <w:rFonts w:hint="eastAsia" w:eastAsia="宋体"/>
                <w:sz w:val="24"/>
                <w:szCs w:val="20"/>
              </w:rPr>
              <w:t>程宏军.基于供给角度的美国职业篮球运动员高工资现象分析[J].当代体育科技,2015,5(33):237+239.DOI:10.16655/j.cnki.2095-2813.2015.33.237.</w:t>
            </w:r>
          </w:p>
          <w:p w14:paraId="54F10AC3">
            <w:pPr>
              <w:widowControl w:val="0"/>
              <w:numPr>
                <w:ilvl w:val="0"/>
                <w:numId w:val="2"/>
              </w:numPr>
              <w:spacing w:after="0"/>
              <w:jc w:val="both"/>
              <w:rPr>
                <w:rFonts w:eastAsia="宋体"/>
                <w:sz w:val="24"/>
                <w:szCs w:val="20"/>
              </w:rPr>
            </w:pPr>
            <w:r>
              <w:rPr>
                <w:rFonts w:hint="eastAsia" w:eastAsia="宋体"/>
                <w:sz w:val="24"/>
                <w:szCs w:val="20"/>
              </w:rPr>
              <w:t>张巍.浙江省职业篮球运动员商业保险投保情况的研究[D].北京体育大学,2016.</w:t>
            </w:r>
          </w:p>
          <w:p w14:paraId="3E36BAD3">
            <w:pPr>
              <w:widowControl w:val="0"/>
              <w:numPr>
                <w:ilvl w:val="0"/>
                <w:numId w:val="2"/>
              </w:numPr>
              <w:spacing w:after="0"/>
              <w:jc w:val="both"/>
              <w:rPr>
                <w:rFonts w:eastAsia="宋体"/>
                <w:sz w:val="24"/>
                <w:szCs w:val="20"/>
              </w:rPr>
            </w:pPr>
            <w:r>
              <w:rPr>
                <w:rFonts w:hint="eastAsia" w:eastAsia="宋体"/>
                <w:sz w:val="24"/>
                <w:szCs w:val="20"/>
              </w:rPr>
              <w:t>张琪.职业篮球运动员的劳动者地位研究[J].法制博览,2015,(18):241.</w:t>
            </w:r>
          </w:p>
          <w:p w14:paraId="54A9FE47">
            <w:pPr>
              <w:widowControl w:val="0"/>
              <w:numPr>
                <w:ilvl w:val="0"/>
                <w:numId w:val="2"/>
              </w:numPr>
              <w:spacing w:after="0"/>
              <w:jc w:val="both"/>
              <w:rPr>
                <w:rFonts w:eastAsia="宋体"/>
                <w:sz w:val="24"/>
                <w:szCs w:val="20"/>
              </w:rPr>
            </w:pPr>
            <w:r>
              <w:rPr>
                <w:rFonts w:hint="eastAsia" w:eastAsia="宋体"/>
                <w:sz w:val="24"/>
                <w:szCs w:val="20"/>
              </w:rPr>
              <w:t>刘武军,颜海波.不同位置职业篮球运动员运动寿命研究——基于CBA、NBA数据比较[J].运动,2014,(05):19-21+90.</w:t>
            </w:r>
          </w:p>
          <w:p w14:paraId="188CCA87">
            <w:pPr>
              <w:widowControl w:val="0"/>
              <w:numPr>
                <w:ilvl w:val="0"/>
                <w:numId w:val="2"/>
              </w:numPr>
              <w:spacing w:after="0"/>
              <w:jc w:val="both"/>
              <w:rPr>
                <w:rFonts w:eastAsia="宋体"/>
                <w:sz w:val="24"/>
                <w:szCs w:val="20"/>
              </w:rPr>
            </w:pPr>
            <w:r>
              <w:rPr>
                <w:rFonts w:hint="eastAsia" w:eastAsia="宋体"/>
                <w:sz w:val="24"/>
                <w:szCs w:val="20"/>
              </w:rPr>
              <w:t>郭吉军.我国职业篮球运动员的职业权利之法律思考——兼议《体育法》修改的若干建议[J].统计与管理,2013,(03):147-149.</w:t>
            </w:r>
          </w:p>
          <w:p w14:paraId="6C42639F">
            <w:pPr>
              <w:widowControl w:val="0"/>
              <w:numPr>
                <w:ilvl w:val="0"/>
                <w:numId w:val="2"/>
              </w:numPr>
              <w:spacing w:after="0"/>
              <w:jc w:val="both"/>
              <w:rPr>
                <w:rFonts w:eastAsia="宋体"/>
                <w:sz w:val="24"/>
                <w:szCs w:val="20"/>
              </w:rPr>
            </w:pPr>
            <w:bookmarkStart w:id="7" w:name="_Ref5109"/>
            <w:r>
              <w:rPr>
                <w:rFonts w:hint="eastAsia" w:eastAsia="宋体"/>
                <w:sz w:val="24"/>
                <w:szCs w:val="20"/>
              </w:rPr>
              <w:t>乔峰.NBL国内职业篮球运动员体能训练的现状与分析[D].青海师范大学,2013.</w:t>
            </w:r>
            <w:bookmarkEnd w:id="7"/>
            <w:r>
              <w:rPr>
                <w:rFonts w:hint="eastAsia" w:eastAsia="宋体"/>
                <w:sz w:val="24"/>
                <w:szCs w:val="20"/>
              </w:rPr>
              <w:t xml:space="preserve"> </w:t>
            </w:r>
          </w:p>
          <w:p w14:paraId="49F4CF03">
            <w:pPr>
              <w:widowControl w:val="0"/>
              <w:spacing w:after="0"/>
              <w:ind w:left="480" w:hanging="480" w:hangingChars="200"/>
              <w:jc w:val="both"/>
              <w:rPr>
                <w:rFonts w:eastAsia="宋体"/>
                <w:sz w:val="24"/>
                <w:szCs w:val="20"/>
              </w:rPr>
            </w:pPr>
          </w:p>
          <w:p w14:paraId="4FB6707E">
            <w:pPr>
              <w:widowControl w:val="0"/>
              <w:numPr>
                <w:ilvl w:val="0"/>
                <w:numId w:val="2"/>
              </w:numPr>
              <w:spacing w:after="0"/>
              <w:jc w:val="both"/>
              <w:rPr>
                <w:rFonts w:eastAsia="宋体"/>
                <w:sz w:val="24"/>
                <w:szCs w:val="20"/>
              </w:rPr>
            </w:pPr>
            <w:bookmarkStart w:id="8" w:name="_Ref198307691"/>
            <w:r>
              <w:rPr>
                <w:rFonts w:hint="eastAsia" w:eastAsia="宋体"/>
                <w:sz w:val="24"/>
                <w:szCs w:val="20"/>
              </w:rPr>
              <w:t>赵祎凡,赵可伟.NBA选秀球员体能测试标准分数及TSA的特征研究[C]//中国体育科学学会.第十三届全国体育科学大会论文摘要集——墙报交流(体能训练分会)（一）.国家体育总局体育科学研究所;,2023:65-67.DOI:10.26914/c.cnkihy.2023.078786.</w:t>
            </w:r>
            <w:bookmarkEnd w:id="8"/>
            <w:r>
              <w:rPr>
                <w:rFonts w:hint="eastAsia" w:eastAsia="宋体"/>
                <w:sz w:val="24"/>
                <w:szCs w:val="20"/>
              </w:rPr>
              <w:t xml:space="preserve"> </w:t>
            </w:r>
          </w:p>
          <w:p w14:paraId="250679C7">
            <w:pPr>
              <w:widowControl w:val="0"/>
              <w:numPr>
                <w:ilvl w:val="0"/>
                <w:numId w:val="2"/>
              </w:numPr>
              <w:spacing w:after="0"/>
              <w:jc w:val="both"/>
              <w:rPr>
                <w:rFonts w:eastAsia="宋体"/>
                <w:sz w:val="24"/>
                <w:szCs w:val="20"/>
              </w:rPr>
            </w:pPr>
            <w:bookmarkStart w:id="9" w:name="_Ref198307709"/>
            <w:r>
              <w:rPr>
                <w:rFonts w:hint="eastAsia" w:eastAsia="宋体"/>
                <w:sz w:val="24"/>
                <w:szCs w:val="20"/>
              </w:rPr>
              <w:t>朱从庆.美国职业篮球联盟（NBA）成长的动力机制、战略选择及启示研究[D].上海体育学院,2023.DOI:10.27315/d.cnki.gstyx.2023.000024.</w:t>
            </w:r>
            <w:bookmarkEnd w:id="9"/>
            <w:r>
              <w:rPr>
                <w:rFonts w:hint="eastAsia" w:eastAsia="宋体"/>
                <w:sz w:val="24"/>
                <w:szCs w:val="20"/>
              </w:rPr>
              <w:t xml:space="preserve"> </w:t>
            </w:r>
          </w:p>
          <w:p w14:paraId="047A7F45">
            <w:pPr>
              <w:widowControl w:val="0"/>
              <w:numPr>
                <w:ilvl w:val="0"/>
                <w:numId w:val="2"/>
              </w:numPr>
              <w:spacing w:after="0"/>
              <w:jc w:val="both"/>
              <w:rPr>
                <w:rFonts w:eastAsia="宋体"/>
                <w:sz w:val="24"/>
                <w:szCs w:val="20"/>
              </w:rPr>
            </w:pPr>
            <w:bookmarkStart w:id="10" w:name="_Ref198307722"/>
            <w:r>
              <w:rPr>
                <w:rFonts w:hint="eastAsia" w:eastAsia="宋体"/>
                <w:sz w:val="24"/>
                <w:szCs w:val="20"/>
              </w:rPr>
              <w:t>陈埭玮.NBA联赛文化与生成路径研究[D].成都体育学院,2023.DOI:10.26987/d.cnki.gcdtc.2023.000023.</w:t>
            </w:r>
            <w:bookmarkEnd w:id="10"/>
            <w:r>
              <w:rPr>
                <w:rFonts w:hint="eastAsia" w:eastAsia="宋体"/>
                <w:sz w:val="24"/>
                <w:szCs w:val="20"/>
              </w:rPr>
              <w:t xml:space="preserve"> </w:t>
            </w:r>
          </w:p>
          <w:p w14:paraId="6A71217A">
            <w:pPr>
              <w:widowControl w:val="0"/>
              <w:numPr>
                <w:ilvl w:val="0"/>
                <w:numId w:val="2"/>
              </w:numPr>
              <w:spacing w:after="0"/>
              <w:jc w:val="both"/>
              <w:rPr>
                <w:rFonts w:eastAsia="宋体"/>
                <w:sz w:val="24"/>
                <w:szCs w:val="20"/>
              </w:rPr>
            </w:pPr>
            <w:bookmarkStart w:id="11" w:name="_Ref198307733"/>
            <w:r>
              <w:rPr>
                <w:rFonts w:hint="eastAsia" w:eastAsia="宋体"/>
                <w:sz w:val="24"/>
                <w:szCs w:val="20"/>
              </w:rPr>
              <w:t>蔡剑龙.NBA传奇教练菲尔·杰克逊的执教特征研究[D].福建师范大学,2022.DOI:10.27019/d.cnki.gfjsu.2022.002280.</w:t>
            </w:r>
            <w:bookmarkEnd w:id="11"/>
            <w:r>
              <w:rPr>
                <w:rFonts w:hint="eastAsia" w:eastAsia="宋体"/>
                <w:sz w:val="24"/>
                <w:szCs w:val="20"/>
              </w:rPr>
              <w:t xml:space="preserve"> </w:t>
            </w:r>
          </w:p>
          <w:p w14:paraId="111E33FE">
            <w:pPr>
              <w:widowControl w:val="0"/>
              <w:numPr>
                <w:ilvl w:val="0"/>
                <w:numId w:val="2"/>
              </w:numPr>
              <w:spacing w:after="0"/>
              <w:jc w:val="both"/>
              <w:rPr>
                <w:rFonts w:eastAsia="宋体"/>
                <w:sz w:val="24"/>
                <w:szCs w:val="20"/>
              </w:rPr>
            </w:pPr>
            <w:bookmarkStart w:id="12" w:name="_Ref198307740"/>
            <w:r>
              <w:rPr>
                <w:rFonts w:hint="eastAsia" w:eastAsia="宋体"/>
                <w:sz w:val="24"/>
                <w:szCs w:val="20"/>
              </w:rPr>
              <w:t>安旭泽.NBA与CBA内部制衡机制对比研究[D].哈尔滨师范大学,2022.DOI:10.27064/d.cnki.ghasu.2022.000095.</w:t>
            </w:r>
            <w:bookmarkEnd w:id="12"/>
            <w:r>
              <w:rPr>
                <w:rFonts w:hint="eastAsia" w:eastAsia="宋体"/>
                <w:sz w:val="24"/>
                <w:szCs w:val="20"/>
              </w:rPr>
              <w:t xml:space="preserve"> </w:t>
            </w:r>
          </w:p>
          <w:p w14:paraId="4EBD559D">
            <w:pPr>
              <w:widowControl w:val="0"/>
              <w:spacing w:after="0"/>
              <w:ind w:left="480" w:hanging="480" w:hangingChars="200"/>
              <w:jc w:val="both"/>
              <w:rPr>
                <w:rFonts w:eastAsia="宋体"/>
                <w:sz w:val="24"/>
                <w:szCs w:val="20"/>
              </w:rPr>
            </w:pPr>
          </w:p>
          <w:p w14:paraId="508A46AB">
            <w:pPr>
              <w:widowControl w:val="0"/>
              <w:spacing w:after="0"/>
              <w:ind w:left="480" w:hanging="480" w:hangingChars="200"/>
              <w:jc w:val="both"/>
              <w:rPr>
                <w:rFonts w:eastAsia="宋体"/>
                <w:sz w:val="24"/>
                <w:szCs w:val="20"/>
              </w:rPr>
            </w:pPr>
          </w:p>
          <w:p w14:paraId="63C5F7C5">
            <w:pPr>
              <w:widowControl w:val="0"/>
              <w:spacing w:after="0"/>
              <w:ind w:left="480" w:hanging="480" w:hangingChars="200"/>
              <w:jc w:val="both"/>
              <w:rPr>
                <w:rFonts w:eastAsia="宋体"/>
                <w:sz w:val="24"/>
                <w:szCs w:val="20"/>
              </w:rPr>
            </w:pPr>
          </w:p>
          <w:p w14:paraId="3CBF1EC0">
            <w:pPr>
              <w:widowControl w:val="0"/>
              <w:spacing w:after="0"/>
              <w:ind w:left="480" w:hanging="480" w:hangingChars="200"/>
              <w:jc w:val="both"/>
              <w:rPr>
                <w:rFonts w:eastAsia="宋体"/>
                <w:sz w:val="24"/>
                <w:szCs w:val="20"/>
              </w:rPr>
            </w:pPr>
          </w:p>
          <w:p w14:paraId="0B0B91F5">
            <w:pPr>
              <w:widowControl w:val="0"/>
              <w:spacing w:after="0"/>
              <w:ind w:left="480" w:hanging="480" w:hangingChars="200"/>
              <w:jc w:val="both"/>
              <w:rPr>
                <w:rFonts w:eastAsia="宋体"/>
                <w:sz w:val="24"/>
                <w:szCs w:val="20"/>
              </w:rPr>
            </w:pPr>
          </w:p>
          <w:p w14:paraId="55EB0E30">
            <w:pPr>
              <w:widowControl w:val="0"/>
              <w:spacing w:after="0"/>
              <w:ind w:left="480" w:hanging="480" w:hangingChars="200"/>
              <w:jc w:val="both"/>
              <w:rPr>
                <w:rFonts w:eastAsia="宋体"/>
                <w:sz w:val="24"/>
                <w:szCs w:val="20"/>
              </w:rPr>
            </w:pPr>
          </w:p>
          <w:p w14:paraId="358C2B65">
            <w:pPr>
              <w:widowControl w:val="0"/>
              <w:spacing w:after="0"/>
              <w:ind w:left="480" w:hanging="480" w:hangingChars="200"/>
              <w:jc w:val="both"/>
              <w:rPr>
                <w:rFonts w:eastAsia="宋体"/>
                <w:sz w:val="24"/>
                <w:szCs w:val="20"/>
              </w:rPr>
            </w:pPr>
          </w:p>
          <w:p w14:paraId="5D698101">
            <w:pPr>
              <w:widowControl w:val="0"/>
              <w:spacing w:after="0"/>
              <w:ind w:left="480" w:hanging="480" w:hangingChars="200"/>
              <w:jc w:val="both"/>
              <w:rPr>
                <w:rFonts w:eastAsia="宋体"/>
                <w:sz w:val="24"/>
                <w:szCs w:val="20"/>
              </w:rPr>
            </w:pPr>
          </w:p>
          <w:p w14:paraId="3386EFDC">
            <w:pPr>
              <w:widowControl w:val="0"/>
              <w:spacing w:after="0"/>
              <w:ind w:left="480" w:hanging="480" w:hangingChars="200"/>
              <w:jc w:val="both"/>
              <w:rPr>
                <w:rFonts w:eastAsia="宋体"/>
                <w:sz w:val="24"/>
                <w:szCs w:val="20"/>
              </w:rPr>
            </w:pPr>
          </w:p>
          <w:p w14:paraId="5AACA55C">
            <w:pPr>
              <w:widowControl w:val="0"/>
              <w:spacing w:after="0"/>
              <w:ind w:left="480" w:hanging="480" w:hangingChars="200"/>
              <w:jc w:val="both"/>
              <w:rPr>
                <w:rFonts w:eastAsia="宋体"/>
                <w:sz w:val="24"/>
                <w:szCs w:val="20"/>
              </w:rPr>
            </w:pPr>
          </w:p>
          <w:p w14:paraId="2C509D7B">
            <w:pPr>
              <w:widowControl w:val="0"/>
              <w:spacing w:after="0"/>
              <w:ind w:left="480" w:hanging="480" w:hangingChars="200"/>
              <w:jc w:val="both"/>
              <w:rPr>
                <w:rFonts w:eastAsia="宋体"/>
                <w:sz w:val="24"/>
                <w:szCs w:val="20"/>
              </w:rPr>
            </w:pPr>
          </w:p>
          <w:p w14:paraId="2BB6301B">
            <w:pPr>
              <w:widowControl w:val="0"/>
              <w:spacing w:after="0"/>
              <w:ind w:left="480" w:hanging="480" w:hangingChars="200"/>
              <w:jc w:val="both"/>
              <w:rPr>
                <w:rFonts w:eastAsia="宋体"/>
                <w:sz w:val="24"/>
                <w:szCs w:val="20"/>
              </w:rPr>
            </w:pPr>
          </w:p>
          <w:p w14:paraId="07604D09">
            <w:pPr>
              <w:widowControl w:val="0"/>
              <w:spacing w:after="0"/>
              <w:ind w:left="480" w:hanging="480" w:hangingChars="200"/>
              <w:jc w:val="both"/>
              <w:rPr>
                <w:rFonts w:eastAsia="宋体"/>
                <w:sz w:val="24"/>
                <w:szCs w:val="20"/>
              </w:rPr>
            </w:pPr>
          </w:p>
          <w:p w14:paraId="147801DA">
            <w:pPr>
              <w:widowControl w:val="0"/>
              <w:spacing w:after="0"/>
              <w:ind w:left="480" w:hanging="480" w:hangingChars="200"/>
              <w:jc w:val="both"/>
              <w:rPr>
                <w:rFonts w:eastAsia="宋体"/>
                <w:sz w:val="24"/>
                <w:szCs w:val="20"/>
              </w:rPr>
            </w:pPr>
          </w:p>
          <w:p w14:paraId="5AEBC8C8">
            <w:pPr>
              <w:widowControl w:val="0"/>
              <w:spacing w:after="0"/>
              <w:ind w:left="480" w:hanging="480" w:hangingChars="200"/>
              <w:jc w:val="both"/>
              <w:rPr>
                <w:rFonts w:eastAsia="宋体"/>
                <w:sz w:val="24"/>
                <w:szCs w:val="20"/>
              </w:rPr>
            </w:pPr>
          </w:p>
        </w:tc>
      </w:tr>
      <w:tr w14:paraId="0D081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3" w:hRule="atLeast"/>
          <w:jc w:val="center"/>
        </w:trPr>
        <w:tc>
          <w:tcPr>
            <w:tcW w:w="9019" w:type="dxa"/>
            <w:gridSpan w:val="2"/>
          </w:tcPr>
          <w:p w14:paraId="05EF45CA">
            <w:pPr>
              <w:widowControl w:val="0"/>
              <w:spacing w:after="0"/>
              <w:jc w:val="both"/>
              <w:rPr>
                <w:rFonts w:eastAsia="宋体"/>
                <w:sz w:val="20"/>
                <w:szCs w:val="21"/>
              </w:rPr>
            </w:pPr>
            <w:r>
              <w:rPr>
                <w:rFonts w:hint="eastAsia" w:eastAsia="宋体"/>
                <w:sz w:val="24"/>
                <w:szCs w:val="20"/>
              </w:rPr>
              <w:t>指导教师意见（选题是否符合专业培养目标、理论意义、应用价值、研究方法和可行性等，需明确是否同意开题）</w:t>
            </w:r>
            <w:r>
              <w:rPr>
                <w:rFonts w:hint="eastAsia" w:eastAsia="宋体"/>
                <w:sz w:val="20"/>
                <w:szCs w:val="21"/>
              </w:rPr>
              <w:t>：</w:t>
            </w:r>
            <w:r>
              <w:rPr>
                <w:rFonts w:eastAsia="宋体"/>
                <w:sz w:val="20"/>
                <w:szCs w:val="21"/>
              </w:rPr>
              <w:t xml:space="preserve"> </w:t>
            </w:r>
          </w:p>
          <w:p w14:paraId="47551972">
            <w:pPr>
              <w:widowControl w:val="0"/>
              <w:spacing w:after="0"/>
              <w:jc w:val="both"/>
              <w:rPr>
                <w:rFonts w:hint="eastAsia" w:ascii="宋体" w:hAnsi="宋体" w:eastAsia="宋体"/>
                <w:sz w:val="24"/>
                <w:szCs w:val="24"/>
              </w:rPr>
            </w:pPr>
          </w:p>
          <w:p w14:paraId="26BDF3B2">
            <w:pPr>
              <w:widowControl w:val="0"/>
              <w:spacing w:after="0"/>
              <w:jc w:val="both"/>
              <w:rPr>
                <w:rFonts w:hint="eastAsia" w:ascii="宋体" w:hAnsi="宋体" w:eastAsia="宋体"/>
                <w:sz w:val="24"/>
                <w:szCs w:val="24"/>
              </w:rPr>
            </w:pPr>
          </w:p>
          <w:p w14:paraId="603ABFDD">
            <w:pPr>
              <w:widowControl w:val="0"/>
              <w:spacing w:after="0"/>
              <w:jc w:val="both"/>
              <w:rPr>
                <w:rFonts w:hint="eastAsia" w:ascii="宋体" w:hAnsi="宋体" w:eastAsia="宋体"/>
                <w:sz w:val="24"/>
                <w:szCs w:val="24"/>
              </w:rPr>
            </w:pPr>
          </w:p>
          <w:p w14:paraId="48DF7712">
            <w:pPr>
              <w:widowControl w:val="0"/>
              <w:spacing w:after="0"/>
              <w:jc w:val="both"/>
              <w:rPr>
                <w:rFonts w:hint="eastAsia" w:ascii="宋体" w:hAnsi="宋体" w:eastAsia="宋体"/>
                <w:sz w:val="24"/>
                <w:szCs w:val="24"/>
              </w:rPr>
            </w:pPr>
          </w:p>
          <w:p w14:paraId="3FE7DC0F">
            <w:pPr>
              <w:widowControl w:val="0"/>
              <w:spacing w:after="0"/>
              <w:jc w:val="both"/>
              <w:rPr>
                <w:rFonts w:hint="eastAsia" w:ascii="宋体" w:hAnsi="宋体" w:eastAsia="宋体"/>
                <w:sz w:val="24"/>
                <w:szCs w:val="24"/>
              </w:rPr>
            </w:pPr>
          </w:p>
          <w:p w14:paraId="3CF20237">
            <w:pPr>
              <w:widowControl w:val="0"/>
              <w:spacing w:after="0"/>
              <w:jc w:val="both"/>
              <w:rPr>
                <w:rFonts w:hint="eastAsia" w:ascii="宋体" w:hAnsi="宋体" w:eastAsia="宋体"/>
                <w:sz w:val="24"/>
                <w:szCs w:val="24"/>
              </w:rPr>
            </w:pPr>
          </w:p>
          <w:p w14:paraId="2B4BDEDC">
            <w:pPr>
              <w:widowControl w:val="0"/>
              <w:spacing w:after="0"/>
              <w:jc w:val="both"/>
              <w:rPr>
                <w:rFonts w:hint="eastAsia" w:ascii="宋体" w:hAnsi="宋体" w:eastAsia="宋体"/>
                <w:sz w:val="24"/>
                <w:szCs w:val="24"/>
              </w:rPr>
            </w:pPr>
          </w:p>
          <w:p w14:paraId="18B16076">
            <w:pPr>
              <w:widowControl w:val="0"/>
              <w:spacing w:after="0"/>
              <w:jc w:val="both"/>
              <w:rPr>
                <w:rFonts w:hint="eastAsia" w:ascii="宋体" w:hAnsi="宋体" w:eastAsia="宋体"/>
                <w:sz w:val="24"/>
                <w:szCs w:val="24"/>
              </w:rPr>
            </w:pPr>
          </w:p>
          <w:p w14:paraId="67CE4DBB">
            <w:pPr>
              <w:widowControl w:val="0"/>
              <w:spacing w:after="0"/>
              <w:jc w:val="both"/>
              <w:rPr>
                <w:rFonts w:hint="eastAsia" w:ascii="宋体" w:hAnsi="宋体" w:eastAsia="宋体"/>
                <w:sz w:val="24"/>
                <w:szCs w:val="24"/>
              </w:rPr>
            </w:pPr>
          </w:p>
          <w:p w14:paraId="7088E7FB">
            <w:pPr>
              <w:widowControl w:val="0"/>
              <w:spacing w:after="0"/>
              <w:jc w:val="both"/>
              <w:rPr>
                <w:rFonts w:hint="eastAsia" w:ascii="宋体" w:hAnsi="宋体" w:eastAsia="宋体"/>
                <w:sz w:val="24"/>
                <w:szCs w:val="24"/>
              </w:rPr>
            </w:pPr>
          </w:p>
          <w:p w14:paraId="4F387B59">
            <w:pPr>
              <w:widowControl w:val="0"/>
              <w:spacing w:after="0"/>
              <w:jc w:val="both"/>
              <w:rPr>
                <w:rFonts w:hint="eastAsia" w:ascii="宋体" w:hAnsi="宋体" w:eastAsia="宋体"/>
                <w:sz w:val="24"/>
                <w:szCs w:val="24"/>
              </w:rPr>
            </w:pPr>
          </w:p>
          <w:p w14:paraId="44E0E637">
            <w:pPr>
              <w:widowControl w:val="0"/>
              <w:spacing w:after="0"/>
              <w:jc w:val="both"/>
              <w:rPr>
                <w:rFonts w:hint="eastAsia" w:ascii="宋体" w:hAnsi="宋体" w:eastAsia="宋体"/>
                <w:sz w:val="24"/>
                <w:szCs w:val="24"/>
              </w:rPr>
            </w:pPr>
          </w:p>
          <w:p w14:paraId="02ECA081">
            <w:pPr>
              <w:widowControl w:val="0"/>
              <w:spacing w:after="0"/>
              <w:jc w:val="both"/>
              <w:rPr>
                <w:rFonts w:hint="eastAsia" w:ascii="宋体" w:hAnsi="宋体" w:eastAsia="宋体"/>
                <w:sz w:val="24"/>
                <w:szCs w:val="24"/>
              </w:rPr>
            </w:pPr>
          </w:p>
          <w:p w14:paraId="4AD62425">
            <w:pPr>
              <w:widowControl w:val="0"/>
              <w:spacing w:after="0"/>
              <w:jc w:val="both"/>
              <w:rPr>
                <w:rFonts w:hint="eastAsia" w:ascii="宋体" w:hAnsi="宋体" w:eastAsia="宋体"/>
                <w:sz w:val="24"/>
                <w:szCs w:val="24"/>
              </w:rPr>
            </w:pPr>
          </w:p>
          <w:p w14:paraId="14356A86">
            <w:pPr>
              <w:widowControl w:val="0"/>
              <w:spacing w:after="0"/>
              <w:jc w:val="both"/>
              <w:rPr>
                <w:rFonts w:hint="eastAsia" w:ascii="宋体" w:hAnsi="宋体" w:eastAsia="宋体"/>
                <w:sz w:val="24"/>
                <w:szCs w:val="24"/>
              </w:rPr>
            </w:pPr>
          </w:p>
          <w:p w14:paraId="6044614E">
            <w:pPr>
              <w:widowControl w:val="0"/>
              <w:spacing w:after="0"/>
              <w:jc w:val="both"/>
              <w:rPr>
                <w:rFonts w:hint="eastAsia" w:ascii="宋体" w:hAnsi="宋体" w:eastAsia="宋体"/>
                <w:sz w:val="24"/>
                <w:szCs w:val="24"/>
              </w:rPr>
            </w:pPr>
          </w:p>
          <w:p w14:paraId="3A55EA3E">
            <w:pPr>
              <w:widowControl w:val="0"/>
              <w:wordWrap w:val="0"/>
              <w:spacing w:after="0"/>
              <w:jc w:val="right"/>
              <w:rPr>
                <w:rFonts w:eastAsia="宋体"/>
                <w:sz w:val="30"/>
                <w:szCs w:val="30"/>
              </w:rPr>
            </w:pPr>
            <w:r>
              <w:rPr>
                <w:rFonts w:hint="eastAsia" w:ascii="Times New Roman" w:hAnsi="Times New Roman" w:eastAsia="宋体" w:cs="宋体"/>
                <w:sz w:val="24"/>
                <w:szCs w:val="28"/>
              </w:rPr>
              <w:t>指导教师（签字）：                                           年   月   日</w:t>
            </w:r>
          </w:p>
        </w:tc>
      </w:tr>
    </w:tbl>
    <w:p w14:paraId="0B86BD0A">
      <w:pPr>
        <w:autoSpaceDE w:val="0"/>
        <w:autoSpaceDN w:val="0"/>
        <w:spacing w:after="0"/>
        <w:rPr>
          <w:rFonts w:hint="eastAsia" w:ascii="宋体" w:hAnsi="宋体" w:eastAsia="宋体"/>
          <w:sz w:val="24"/>
          <w:szCs w:val="24"/>
        </w:rPr>
      </w:pPr>
    </w:p>
    <w:sectPr>
      <w:footerReference r:id="rId4" w:type="default"/>
      <w:pgSz w:w="11906" w:h="16838"/>
      <w:pgMar w:top="2098" w:right="1474" w:bottom="1984" w:left="1587" w:header="567" w:footer="567" w:gutter="0"/>
      <w:pgNumType w:fmt="numberInDash"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7067712"/>
    </w:sdtPr>
    <w:sdtEndPr>
      <w:rPr>
        <w:rFonts w:hint="eastAsia" w:ascii="宋体" w:hAnsi="宋体" w:eastAsia="宋体"/>
        <w:sz w:val="24"/>
        <w:szCs w:val="28"/>
      </w:rPr>
    </w:sdtEndPr>
    <w:sdtContent>
      <w:p w14:paraId="14BEC799">
        <w:pPr>
          <w:pStyle w:val="3"/>
          <w:jc w:val="center"/>
          <w:rPr>
            <w:rFonts w:hint="eastAsia" w:ascii="宋体" w:hAnsi="宋体" w:eastAsia="宋体"/>
            <w:sz w:val="24"/>
            <w:szCs w:val="28"/>
          </w:rPr>
        </w:pPr>
        <w:r>
          <w:rPr>
            <w:rFonts w:hint="eastAsia" w:ascii="宋体" w:hAnsi="宋体" w:eastAsia="宋体"/>
            <w:sz w:val="24"/>
            <w:szCs w:val="28"/>
          </w:rPr>
          <w:fldChar w:fldCharType="begin"/>
        </w:r>
        <w:r>
          <w:rPr>
            <w:rFonts w:hint="eastAsia" w:ascii="宋体" w:hAnsi="宋体" w:eastAsia="宋体"/>
            <w:sz w:val="24"/>
            <w:szCs w:val="28"/>
          </w:rPr>
          <w:instrText xml:space="preserve">PAGE   \* MERGEFORMAT</w:instrText>
        </w:r>
        <w:r>
          <w:rPr>
            <w:rFonts w:hint="eastAsia" w:ascii="宋体" w:hAnsi="宋体" w:eastAsia="宋体"/>
            <w:sz w:val="24"/>
            <w:szCs w:val="28"/>
          </w:rPr>
          <w:fldChar w:fldCharType="separate"/>
        </w:r>
        <w:r>
          <w:rPr>
            <w:rFonts w:ascii="宋体" w:hAnsi="宋体" w:eastAsia="宋体"/>
            <w:sz w:val="24"/>
            <w:szCs w:val="28"/>
            <w:lang w:val="zh-CN"/>
          </w:rPr>
          <w:t>-</w:t>
        </w:r>
        <w:r>
          <w:rPr>
            <w:rFonts w:ascii="宋体" w:hAnsi="宋体" w:eastAsia="宋体"/>
            <w:sz w:val="24"/>
            <w:szCs w:val="28"/>
          </w:rPr>
          <w:t xml:space="preserve"> 4 -</w:t>
        </w:r>
        <w:r>
          <w:rPr>
            <w:rFonts w:hint="eastAsia" w:ascii="宋体" w:hAnsi="宋体" w:eastAsia="宋体"/>
            <w:sz w:val="24"/>
            <w:szCs w:val="28"/>
          </w:rPr>
          <w:fldChar w:fldCharType="end"/>
        </w:r>
      </w:p>
    </w:sdtContent>
  </w:sdt>
  <w:p w14:paraId="75FC0036">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E3F63"/>
    <w:multiLevelType w:val="singleLevel"/>
    <w:tmpl w:val="163E3F63"/>
    <w:lvl w:ilvl="0" w:tentative="0">
      <w:start w:val="1"/>
      <w:numFmt w:val="decimal"/>
      <w:suff w:val="space"/>
      <w:lvlText w:val="%1."/>
      <w:lvlJc w:val="left"/>
    </w:lvl>
  </w:abstractNum>
  <w:abstractNum w:abstractNumId="1">
    <w:nsid w:val="75881306"/>
    <w:multiLevelType w:val="singleLevel"/>
    <w:tmpl w:val="75881306"/>
    <w:lvl w:ilvl="0" w:tentative="0">
      <w:start w:val="1"/>
      <w:numFmt w:val="decimal"/>
      <w:lvlText w:val="[%1]"/>
      <w:lvlJc w:val="left"/>
      <w:pPr>
        <w:tabs>
          <w:tab w:val="left" w:pos="420"/>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OWE1M2U1Y2ExNTY2ZWU3MzUzMjVmMTA3ODUzODI4ODgifQ=="/>
    <w:docVar w:name="KSO_WPS_MARK_KEY" w:val="757a2440-f8d7-4e80-8010-1441dc1cc487"/>
  </w:docVars>
  <w:rsids>
    <w:rsidRoot w:val="004A15EB"/>
    <w:rsid w:val="000068DE"/>
    <w:rsid w:val="000249B7"/>
    <w:rsid w:val="000302D9"/>
    <w:rsid w:val="0004063A"/>
    <w:rsid w:val="000464BE"/>
    <w:rsid w:val="00061C4E"/>
    <w:rsid w:val="00064DCB"/>
    <w:rsid w:val="00084706"/>
    <w:rsid w:val="00095D58"/>
    <w:rsid w:val="000B40C6"/>
    <w:rsid w:val="000C684E"/>
    <w:rsid w:val="000C74B6"/>
    <w:rsid w:val="000D08C3"/>
    <w:rsid w:val="000E0C67"/>
    <w:rsid w:val="000E45DD"/>
    <w:rsid w:val="000F0722"/>
    <w:rsid w:val="000F7C25"/>
    <w:rsid w:val="0012497B"/>
    <w:rsid w:val="00126C40"/>
    <w:rsid w:val="001352AB"/>
    <w:rsid w:val="00141C71"/>
    <w:rsid w:val="00153106"/>
    <w:rsid w:val="00176639"/>
    <w:rsid w:val="001D760B"/>
    <w:rsid w:val="001E1A5E"/>
    <w:rsid w:val="001F1823"/>
    <w:rsid w:val="001F2B18"/>
    <w:rsid w:val="001F5323"/>
    <w:rsid w:val="001F7756"/>
    <w:rsid w:val="002020F0"/>
    <w:rsid w:val="00212F7D"/>
    <w:rsid w:val="00232E40"/>
    <w:rsid w:val="00242EA4"/>
    <w:rsid w:val="0024630B"/>
    <w:rsid w:val="00273AE5"/>
    <w:rsid w:val="00290BB9"/>
    <w:rsid w:val="0029309C"/>
    <w:rsid w:val="00296B58"/>
    <w:rsid w:val="002B743B"/>
    <w:rsid w:val="002C36CF"/>
    <w:rsid w:val="002C6CB7"/>
    <w:rsid w:val="00333998"/>
    <w:rsid w:val="00347ED9"/>
    <w:rsid w:val="00354C15"/>
    <w:rsid w:val="0035533E"/>
    <w:rsid w:val="00382E5F"/>
    <w:rsid w:val="00385881"/>
    <w:rsid w:val="003877A2"/>
    <w:rsid w:val="003941D7"/>
    <w:rsid w:val="003A1A31"/>
    <w:rsid w:val="003B4B9A"/>
    <w:rsid w:val="003D28DC"/>
    <w:rsid w:val="003E3435"/>
    <w:rsid w:val="00404F3C"/>
    <w:rsid w:val="00417B84"/>
    <w:rsid w:val="00424C12"/>
    <w:rsid w:val="00426158"/>
    <w:rsid w:val="00451204"/>
    <w:rsid w:val="0048023F"/>
    <w:rsid w:val="004A15EB"/>
    <w:rsid w:val="004A72C0"/>
    <w:rsid w:val="004B1E94"/>
    <w:rsid w:val="004C1320"/>
    <w:rsid w:val="004C6558"/>
    <w:rsid w:val="004F2AD1"/>
    <w:rsid w:val="004F6B05"/>
    <w:rsid w:val="005103EA"/>
    <w:rsid w:val="00511ABC"/>
    <w:rsid w:val="00525DEB"/>
    <w:rsid w:val="005361B8"/>
    <w:rsid w:val="00537CFE"/>
    <w:rsid w:val="0054389C"/>
    <w:rsid w:val="00552E6F"/>
    <w:rsid w:val="0057684C"/>
    <w:rsid w:val="005768C5"/>
    <w:rsid w:val="00581531"/>
    <w:rsid w:val="0058209F"/>
    <w:rsid w:val="005B24D9"/>
    <w:rsid w:val="005E0D6B"/>
    <w:rsid w:val="006261AE"/>
    <w:rsid w:val="006330AF"/>
    <w:rsid w:val="00635B1B"/>
    <w:rsid w:val="006373BD"/>
    <w:rsid w:val="006534D4"/>
    <w:rsid w:val="0067366A"/>
    <w:rsid w:val="006B6359"/>
    <w:rsid w:val="006C3DBE"/>
    <w:rsid w:val="006C5C84"/>
    <w:rsid w:val="006D1E97"/>
    <w:rsid w:val="006E1CEC"/>
    <w:rsid w:val="006E5594"/>
    <w:rsid w:val="007041E1"/>
    <w:rsid w:val="00706138"/>
    <w:rsid w:val="00713BCB"/>
    <w:rsid w:val="00733C57"/>
    <w:rsid w:val="00735C0E"/>
    <w:rsid w:val="00737263"/>
    <w:rsid w:val="007432E7"/>
    <w:rsid w:val="00747831"/>
    <w:rsid w:val="007565DE"/>
    <w:rsid w:val="007714F2"/>
    <w:rsid w:val="00786998"/>
    <w:rsid w:val="0079583A"/>
    <w:rsid w:val="00797DB9"/>
    <w:rsid w:val="007B3B76"/>
    <w:rsid w:val="007C110E"/>
    <w:rsid w:val="007D1082"/>
    <w:rsid w:val="007D3479"/>
    <w:rsid w:val="0080432E"/>
    <w:rsid w:val="00805AF2"/>
    <w:rsid w:val="0082275F"/>
    <w:rsid w:val="0082781F"/>
    <w:rsid w:val="0084225A"/>
    <w:rsid w:val="008A21FA"/>
    <w:rsid w:val="008B5954"/>
    <w:rsid w:val="008D1A02"/>
    <w:rsid w:val="008D60B6"/>
    <w:rsid w:val="008E4724"/>
    <w:rsid w:val="008F410A"/>
    <w:rsid w:val="00936570"/>
    <w:rsid w:val="0094322E"/>
    <w:rsid w:val="00952D7B"/>
    <w:rsid w:val="0095744B"/>
    <w:rsid w:val="00962FA9"/>
    <w:rsid w:val="00965296"/>
    <w:rsid w:val="00965D38"/>
    <w:rsid w:val="0098100F"/>
    <w:rsid w:val="00982B3C"/>
    <w:rsid w:val="009931EF"/>
    <w:rsid w:val="0099395C"/>
    <w:rsid w:val="009A4969"/>
    <w:rsid w:val="009C023A"/>
    <w:rsid w:val="009D6576"/>
    <w:rsid w:val="009D6C9C"/>
    <w:rsid w:val="009E6A6D"/>
    <w:rsid w:val="00A0569A"/>
    <w:rsid w:val="00A10266"/>
    <w:rsid w:val="00A35558"/>
    <w:rsid w:val="00A45493"/>
    <w:rsid w:val="00A71F44"/>
    <w:rsid w:val="00AA0998"/>
    <w:rsid w:val="00AA3D16"/>
    <w:rsid w:val="00AA540F"/>
    <w:rsid w:val="00AB1E50"/>
    <w:rsid w:val="00AB5DB4"/>
    <w:rsid w:val="00AC02F4"/>
    <w:rsid w:val="00AC0768"/>
    <w:rsid w:val="00AD31F9"/>
    <w:rsid w:val="00AE501E"/>
    <w:rsid w:val="00AE70AD"/>
    <w:rsid w:val="00B07EC1"/>
    <w:rsid w:val="00B21633"/>
    <w:rsid w:val="00B45FCC"/>
    <w:rsid w:val="00B4753F"/>
    <w:rsid w:val="00B62E5C"/>
    <w:rsid w:val="00B766D1"/>
    <w:rsid w:val="00B80097"/>
    <w:rsid w:val="00B9334B"/>
    <w:rsid w:val="00B95492"/>
    <w:rsid w:val="00BA2CCE"/>
    <w:rsid w:val="00BC457E"/>
    <w:rsid w:val="00BC5FEF"/>
    <w:rsid w:val="00BE09F5"/>
    <w:rsid w:val="00C11F15"/>
    <w:rsid w:val="00C15DAC"/>
    <w:rsid w:val="00C23C6A"/>
    <w:rsid w:val="00C51B78"/>
    <w:rsid w:val="00C7002E"/>
    <w:rsid w:val="00C90E3F"/>
    <w:rsid w:val="00C9432B"/>
    <w:rsid w:val="00CB6C75"/>
    <w:rsid w:val="00CC0672"/>
    <w:rsid w:val="00CC78C6"/>
    <w:rsid w:val="00D21DC2"/>
    <w:rsid w:val="00D25192"/>
    <w:rsid w:val="00D42683"/>
    <w:rsid w:val="00D66C7A"/>
    <w:rsid w:val="00D67995"/>
    <w:rsid w:val="00D75584"/>
    <w:rsid w:val="00DB5816"/>
    <w:rsid w:val="00DD0645"/>
    <w:rsid w:val="00DF2D33"/>
    <w:rsid w:val="00E049F6"/>
    <w:rsid w:val="00E04EC1"/>
    <w:rsid w:val="00E23C11"/>
    <w:rsid w:val="00E27408"/>
    <w:rsid w:val="00E3792D"/>
    <w:rsid w:val="00E4062A"/>
    <w:rsid w:val="00E52707"/>
    <w:rsid w:val="00E55C3E"/>
    <w:rsid w:val="00E606E3"/>
    <w:rsid w:val="00E61D93"/>
    <w:rsid w:val="00E67352"/>
    <w:rsid w:val="00E717CD"/>
    <w:rsid w:val="00E825EB"/>
    <w:rsid w:val="00E95F31"/>
    <w:rsid w:val="00EA31B1"/>
    <w:rsid w:val="00EA6D15"/>
    <w:rsid w:val="00ED7919"/>
    <w:rsid w:val="00EF7AB5"/>
    <w:rsid w:val="00F04D04"/>
    <w:rsid w:val="00F54560"/>
    <w:rsid w:val="00F613B5"/>
    <w:rsid w:val="00F85701"/>
    <w:rsid w:val="00FA2AFF"/>
    <w:rsid w:val="00FE48C1"/>
    <w:rsid w:val="00FF1402"/>
    <w:rsid w:val="05612276"/>
    <w:rsid w:val="09511FBF"/>
    <w:rsid w:val="095F02BA"/>
    <w:rsid w:val="0A03621B"/>
    <w:rsid w:val="0C7335CB"/>
    <w:rsid w:val="0DC34241"/>
    <w:rsid w:val="100028AE"/>
    <w:rsid w:val="13061A4F"/>
    <w:rsid w:val="13325473"/>
    <w:rsid w:val="150F3CC6"/>
    <w:rsid w:val="164F0D19"/>
    <w:rsid w:val="1820616D"/>
    <w:rsid w:val="191E4E1F"/>
    <w:rsid w:val="19E15CCF"/>
    <w:rsid w:val="1E164317"/>
    <w:rsid w:val="23C81436"/>
    <w:rsid w:val="24C35994"/>
    <w:rsid w:val="26C376A7"/>
    <w:rsid w:val="2BE315B0"/>
    <w:rsid w:val="2C577314"/>
    <w:rsid w:val="2C9C28AA"/>
    <w:rsid w:val="2CFF1FE7"/>
    <w:rsid w:val="2F2F6764"/>
    <w:rsid w:val="304F6497"/>
    <w:rsid w:val="344C28C2"/>
    <w:rsid w:val="36256217"/>
    <w:rsid w:val="3BE60617"/>
    <w:rsid w:val="3EB9449C"/>
    <w:rsid w:val="3FE67868"/>
    <w:rsid w:val="40E747A2"/>
    <w:rsid w:val="458E7961"/>
    <w:rsid w:val="45DE130F"/>
    <w:rsid w:val="47653A95"/>
    <w:rsid w:val="49840553"/>
    <w:rsid w:val="4F79232D"/>
    <w:rsid w:val="500876B4"/>
    <w:rsid w:val="52CA1B03"/>
    <w:rsid w:val="550F13AB"/>
    <w:rsid w:val="56C9121F"/>
    <w:rsid w:val="58015759"/>
    <w:rsid w:val="58353181"/>
    <w:rsid w:val="5BF76F47"/>
    <w:rsid w:val="5C53547B"/>
    <w:rsid w:val="5E061063"/>
    <w:rsid w:val="5FEC0695"/>
    <w:rsid w:val="6081708B"/>
    <w:rsid w:val="62604274"/>
    <w:rsid w:val="642301C1"/>
    <w:rsid w:val="6573257F"/>
    <w:rsid w:val="67D619EE"/>
    <w:rsid w:val="69E2734A"/>
    <w:rsid w:val="6BF608B1"/>
    <w:rsid w:val="6C0E1756"/>
    <w:rsid w:val="6E087507"/>
    <w:rsid w:val="6E964AE6"/>
    <w:rsid w:val="6F0731EA"/>
    <w:rsid w:val="6FAF4FFE"/>
    <w:rsid w:val="6FD64FAB"/>
    <w:rsid w:val="71723B38"/>
    <w:rsid w:val="75237DEB"/>
    <w:rsid w:val="77147432"/>
    <w:rsid w:val="79E82FE6"/>
    <w:rsid w:val="7D5A1549"/>
    <w:rsid w:val="7D8D102B"/>
    <w:rsid w:val="7D966BEF"/>
    <w:rsid w:val="7E837D82"/>
    <w:rsid w:val="7F270CC1"/>
    <w:rsid w:val="7F50416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semiHidden/>
    <w:unhideWhenUsed/>
    <w:qFormat/>
    <w:uiPriority w:val="99"/>
  </w:style>
  <w:style w:type="paragraph" w:styleId="3">
    <w:name w:val="footer"/>
    <w:basedOn w:val="1"/>
    <w:link w:val="10"/>
    <w:unhideWhenUsed/>
    <w:qFormat/>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table" w:styleId="6">
    <w:name w:val="Table Grid"/>
    <w:basedOn w:val="5"/>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character" w:customStyle="1" w:styleId="9">
    <w:name w:val="页眉 字符"/>
    <w:basedOn w:val="7"/>
    <w:link w:val="4"/>
    <w:qFormat/>
    <w:uiPriority w:val="99"/>
    <w:rPr>
      <w:rFonts w:ascii="Tahoma" w:hAnsi="Tahoma" w:eastAsia="微软雅黑"/>
      <w:sz w:val="18"/>
      <w:szCs w:val="18"/>
    </w:rPr>
  </w:style>
  <w:style w:type="character" w:customStyle="1" w:styleId="10">
    <w:name w:val="页脚 字符"/>
    <w:basedOn w:val="7"/>
    <w:link w:val="3"/>
    <w:qFormat/>
    <w:uiPriority w:val="99"/>
    <w:rPr>
      <w:rFonts w:ascii="Tahoma" w:hAnsi="Tahoma" w:eastAsia="微软雅黑"/>
      <w:sz w:val="18"/>
      <w:szCs w:val="18"/>
    </w:rPr>
  </w:style>
  <w:style w:type="character" w:customStyle="1" w:styleId="11">
    <w:name w:val="批注文字 字符"/>
    <w:basedOn w:val="7"/>
    <w:link w:val="2"/>
    <w:semiHidden/>
    <w:qFormat/>
    <w:uiPriority w:val="99"/>
    <w:rPr>
      <w:rFonts w:ascii="Tahoma" w:hAnsi="Tahoma" w:eastAsia="微软雅黑"/>
      <w:sz w:val="22"/>
      <w:szCs w:val="22"/>
    </w:rPr>
  </w:style>
  <w:style w:type="paragraph" w:styleId="12">
    <w:name w:val="List Paragraph"/>
    <w:basedOn w:val="1"/>
    <w:unhideWhenUsed/>
    <w:qFormat/>
    <w:uiPriority w:val="99"/>
    <w:pPr>
      <w:ind w:firstLine="420" w:firstLineChars="200"/>
    </w:pPr>
  </w:style>
  <w:style w:type="paragraph" w:customStyle="1" w:styleId="13">
    <w:name w:val="修订1"/>
    <w:hidden/>
    <w:unhideWhenUsed/>
    <w:qFormat/>
    <w:uiPriority w:val="99"/>
    <w:rPr>
      <w:rFonts w:ascii="Tahoma" w:hAnsi="Tahoma" w:eastAsia="微软雅黑" w:cs="Times New Roman"/>
      <w:sz w:val="22"/>
      <w:szCs w:val="22"/>
      <w:lang w:val="en-US" w:eastAsia="zh-CN" w:bidi="ar-SA"/>
    </w:rPr>
  </w:style>
  <w:style w:type="paragraph" w:customStyle="1" w:styleId="14">
    <w:name w:val="修订2"/>
    <w:hidden/>
    <w:unhideWhenUsed/>
    <w:qFormat/>
    <w:uiPriority w:val="99"/>
    <w:rPr>
      <w:rFonts w:ascii="Tahoma" w:hAnsi="Tahoma" w:eastAsia="微软雅黑" w:cs="Times New Roman"/>
      <w:sz w:val="22"/>
      <w:szCs w:val="22"/>
      <w:lang w:val="en-US" w:eastAsia="zh-CN" w:bidi="ar-SA"/>
    </w:rPr>
  </w:style>
  <w:style w:type="paragraph" w:customStyle="1" w:styleId="15">
    <w:name w:val="修订3"/>
    <w:hidden/>
    <w:unhideWhenUsed/>
    <w:qFormat/>
    <w:uiPriority w:val="99"/>
    <w:rPr>
      <w:rFonts w:ascii="Tahoma" w:hAnsi="Tahoma" w:eastAsia="微软雅黑" w:cs="Times New Roman"/>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B01E2-BDEB-4A72-A65D-E288EE3254F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6495</Words>
  <Characters>8238</Characters>
  <Lines>208</Lines>
  <Paragraphs>144</Paragraphs>
  <TotalTime>8</TotalTime>
  <ScaleCrop>false</ScaleCrop>
  <LinksUpToDate>false</LinksUpToDate>
  <CharactersWithSpaces>8533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2017-06-27T03:50:00Z</dcterms:created>
  <dc:creator>Administrator</dc:creator>
  <cp:lastModifiedBy>WPS_1669284889</cp:lastModifiedBy>
  <cp:lastPrinted>2023-05-16T00:56:00Z</cp:lastPrinted>
  <dcterms:modified xsi:type="dcterms:W3CDTF">2025-06-27T12:48:58Z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DAB0B5464EB443658E1FCF4B59AC0695_12</vt:lpwstr>
  </property>
  <property fmtid="{D5CDD505-2E9C-101B-9397-08002B2CF9AE}" pid="4" name="KSOTemplateDocerSaveRecord">
    <vt:lpwstr>eyJoZGlkIjoiMDZlYjI1ZTkyNzJjNGRmODM3ODE0ZTYyMDBiMzdlNDIiLCJ1c2VySWQiOiIxNDQ3NjY0OTY2In0=</vt:lpwstr>
  </property>
</Properties>
</file>