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9FC51">
      <w:pPr>
        <w:jc w:val="center"/>
        <w:rPr>
          <w:rFonts w:ascii="华文隶书" w:hAnsi="华文隶书" w:eastAsia="华文隶书"/>
          <w:i/>
          <w:iCs/>
          <w:sz w:val="88"/>
          <w:szCs w:val="88"/>
        </w:rPr>
      </w:pPr>
      <w:r>
        <w:rPr>
          <w:rFonts w:hint="eastAsia" w:eastAsia="华文行楷"/>
          <w:iCs/>
          <w:color w:val="FF0000"/>
          <w:spacing w:val="-20"/>
          <w:w w:val="90"/>
          <w:sz w:val="88"/>
          <w:szCs w:val="88"/>
        </w:rPr>
        <w:t>数字货币国际资讯日报</w:t>
      </w:r>
    </w:p>
    <w:p w14:paraId="123E26DE">
      <w:pPr>
        <w:pBdr>
          <w:bottom w:val="single" w:color="FF0000" w:sz="12" w:space="1"/>
        </w:pBdr>
        <w:rPr>
          <w:rFonts w:ascii="Times New Roman" w:hAnsi="Times New Roman" w:eastAsia="楷体_GB2312" w:cs="Times New Roman"/>
          <w:iCs/>
          <w:sz w:val="30"/>
        </w:rPr>
      </w:pPr>
    </w:p>
    <w:p w14:paraId="7FC78509">
      <w:pPr>
        <w:pBdr>
          <w:bottom w:val="single" w:color="FF0000" w:sz="12" w:space="1"/>
        </w:pBd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ascii="FangSong_GB2312" w:hAnsi="FangSong_GB2312" w:eastAsia="FangSong_GB2312" w:cs="FangSong_GB2312"/>
          <w:b w:val="0"/>
          <w:sz w:val="32"/>
        </w:rPr>
        <w:t>新疆维吾尔自治区分行                 2026年2月6日</w:t>
      </w:r>
    </w:p>
    <w:p w14:paraId="6FF5E386">
      <w:pPr>
        <w:spacing w:before="240" w:after="120"/>
      </w:pPr>
      <w:r>
        <w:rPr>
          <w:rFonts w:ascii="黑体" w:hAnsi="黑体" w:eastAsia="黑体" w:cs="黑体"/>
          <w:b/>
          <w:sz w:val="32"/>
        </w:rPr>
        <w:t>一、扬尼斯·斯托尔纳拉斯：2026年希腊和欧洲的银行和金融前景</w:t>
      </w:r>
      <w:bookmarkStart w:id="0" w:name="_GoBack"/>
      <w:bookmarkEnd w:id="0"/>
    </w:p>
    <w:p w14:paraId="22066D7B">
      <w:pPr>
        <w:spacing w:line="360" w:lineRule="auto"/>
        <w:ind w:firstLine="640"/>
        <w:jc w:val="both"/>
      </w:pPr>
      <w:r>
        <w:rPr>
          <w:rFonts w:ascii="FangSong_GB2312" w:hAnsi="FangSong_GB2312" w:eastAsia="FangSong_GB2312" w:cs="FangSong_GB2312"/>
          <w:b w:val="0"/>
          <w:sz w:val="32"/>
        </w:rPr>
        <w:t>希腊央行行长扬尼斯·斯托尔纳拉斯在《经济学人》“世界展望2026”活动中的演讲讨论了希腊和欧洲银行体系在2026年的发展前景，以及面临的风险和挑战。演讲中讨论了金融稳定和银行体系的未来，这与央行数字货币的潜在影响密切相关。未来金融政策的调整，包括货币政策，都可能影响CBDC的发行和使用。</w:t>
      </w:r>
    </w:p>
    <w:p w14:paraId="797DB0D6">
      <w:pPr>
        <w:spacing w:after="240"/>
        <w:ind w:left="0" w:firstLine="0"/>
        <w:jc w:val="left"/>
      </w:pPr>
      <w:r>
        <w:rPr>
          <w:rFonts w:ascii="FangSong_GB2312" w:hAnsi="FangSong_GB2312" w:eastAsia="FangSong_GB2312" w:cs="FangSong_GB2312"/>
          <w:b w:val="0"/>
          <w:sz w:val="32"/>
        </w:rPr>
        <w:t>（bis：https://www.bis.org/review/r260204d.htm）</w:t>
      </w:r>
    </w:p>
    <w:p w14:paraId="0256B1E2">
      <w:pPr>
        <w:spacing w:before="240" w:after="120"/>
      </w:pPr>
      <w:r>
        <w:rPr>
          <w:rFonts w:ascii="黑体" w:hAnsi="黑体" w:eastAsia="黑体" w:cs="黑体"/>
          <w:b/>
          <w:sz w:val="32"/>
        </w:rPr>
        <w:t>二、Joachim Nagel：数字欧元——欧洲的机会</w:t>
      </w:r>
    </w:p>
    <w:p w14:paraId="19BCE884">
      <w:pPr>
        <w:spacing w:line="360" w:lineRule="auto"/>
        <w:ind w:firstLine="640"/>
        <w:jc w:val="both"/>
      </w:pPr>
      <w:r>
        <w:rPr>
          <w:rFonts w:ascii="FangSong_GB2312" w:hAnsi="FangSong_GB2312" w:eastAsia="FangSong_GB2312" w:cs="FangSong_GB2312"/>
          <w:b w:val="0"/>
          <w:sz w:val="32"/>
        </w:rPr>
        <w:t>本文是德国央行行长Joachim Nagel在2026年1月柏林“Bundesbank Spotlight”活动上的开幕致辞。致辞重点讨论了“数字欧元”作为欧洲未来的机遇，并强调了与消费者组织和银行业代表的对话。</w:t>
      </w:r>
    </w:p>
    <w:p w14:paraId="1A4CF0EE">
      <w:pPr>
        <w:spacing w:after="240"/>
        <w:ind w:left="0" w:firstLine="0"/>
        <w:jc w:val="left"/>
      </w:pPr>
      <w:r>
        <w:rPr>
          <w:rFonts w:ascii="FangSong_GB2312" w:hAnsi="FangSong_GB2312" w:eastAsia="FangSong_GB2312" w:cs="FangSong_GB2312"/>
          <w:b w:val="0"/>
          <w:sz w:val="32"/>
        </w:rPr>
        <w:t>（bis：https://www.bis.org/review/r260204b.htm）</w:t>
      </w:r>
    </w:p>
    <w:p w14:paraId="362E5920">
      <w:pPr>
        <w:spacing w:line="560" w:lineRule="exact"/>
        <w:ind w:firstLine="640" w:firstLineChars="200"/>
        <w:rPr>
          <w:rFonts w:hint="default" w:ascii="仿宋_GB2312" w:hAnsi="仿宋_GB2312" w:eastAsia="仿宋_GB2312" w:cs="仿宋_GB2312"/>
          <w:iCs/>
          <w:sz w:val="30"/>
          <w:szCs w:val="30"/>
          <w:lang w:val="en-US" w:eastAsia="zh-CN"/>
        </w:rPr>
      </w:pPr>
      <w:r>
        <w:rPr>
          <w:rFonts w:ascii="FangSong_GB2312" w:hAnsi="FangSong_GB2312" w:eastAsia="FangSong_GB2312" w:cs="FangSong_GB2312"/>
          <w:b w:val="0"/>
          <w:sz w:val="32"/>
        </w:rPr>
        <w:t>编译：操作员1</w:t>
      </w:r>
    </w:p>
    <w:p w14:paraId="360AC910">
      <w:p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iCs/>
          <w:sz w:val="30"/>
          <w:szCs w:val="30"/>
          <w:lang w:val="en-US" w:eastAsia="zh-CN"/>
        </w:rPr>
      </w:pPr>
      <w:r>
        <w:rPr>
          <w:rFonts w:ascii="FangSong_GB2312" w:hAnsi="FangSong_GB2312" w:eastAsia="FangSong_GB2312" w:cs="FangSong_GB2312"/>
          <w:b w:val="0"/>
          <w:sz w:val="32"/>
        </w:rPr>
        <w:t>编审：巴音桑</w:t>
      </w:r>
    </w:p>
    <w:p w14:paraId="3E2C3712">
      <w:pPr>
        <w:widowControl/>
        <w:numPr>
          <w:ilvl w:val="0"/>
          <w:numId w:val="0"/>
        </w:numPr>
        <w:wordWrap/>
        <w:adjustRightInd/>
        <w:snapToGrid/>
        <w:spacing w:line="560" w:lineRule="exact"/>
        <w:ind w:firstLine="600" w:firstLineChars="200"/>
        <w:textAlignment w:val="auto"/>
        <w:rPr>
          <w:rFonts w:hint="eastAsia" w:ascii="Times New Roman" w:hAnsi="Times New Roman" w:eastAsia="仿宋_GB2312"/>
          <w:sz w:val="30"/>
          <w:szCs w:val="30"/>
          <w:lang w:val="en-US" w:eastAsia="zh-CN"/>
        </w:rPr>
      </w:pPr>
    </w:p>
    <w:p w14:paraId="2679A10E">
      <w:pPr>
        <w:widowControl/>
        <w:numPr>
          <w:ilvl w:val="0"/>
          <w:numId w:val="0"/>
        </w:numPr>
        <w:wordWrap/>
        <w:adjustRightInd/>
        <w:snapToGrid/>
        <w:spacing w:line="560" w:lineRule="exact"/>
        <w:ind w:firstLine="600" w:firstLineChars="200"/>
        <w:textAlignment w:val="auto"/>
        <w:rPr>
          <w:rFonts w:hint="eastAsia" w:ascii="Times New Roman" w:hAnsi="Times New Roman" w:eastAsia="仿宋_GB2312"/>
          <w:sz w:val="30"/>
          <w:szCs w:val="30"/>
          <w:lang w:val="en-US" w:eastAsia="zh-CN"/>
        </w:rPr>
      </w:pPr>
    </w:p>
    <w:p w14:paraId="367D47D4">
      <w:pPr>
        <w:pStyle w:val="5"/>
        <w:shd w:val="clear" w:color="auto" w:fill="FFFFFF"/>
        <w:spacing w:before="0" w:beforeAutospacing="0" w:after="0" w:afterAutospacing="0" w:line="560" w:lineRule="exact"/>
        <w:rPr>
          <w:rFonts w:hint="eastAsia" w:ascii="Times New Roman" w:hAnsi="Times New Roman" w:eastAsia="仿宋_GB2312" w:cs="Times New Roman"/>
          <w:iCs/>
          <w:sz w:val="30"/>
          <w:szCs w:val="30"/>
          <w:lang w:val="en-US" w:eastAsia="zh-CN"/>
        </w:rPr>
      </w:pPr>
    </w:p>
    <w:p w14:paraId="5F9AAECB">
      <w:pPr>
        <w:pStyle w:val="5"/>
        <w:shd w:val="clear" w:color="auto" w:fill="FFFFFF"/>
        <w:spacing w:before="0" w:beforeAutospacing="0" w:after="0" w:afterAutospacing="0" w:line="560" w:lineRule="exact"/>
        <w:rPr>
          <w:rFonts w:ascii="Times New Roman" w:hAnsi="Times New Roman" w:eastAsia="仿宋_GB2312" w:cs="Times New Roman"/>
          <w:iCs/>
          <w:sz w:val="30"/>
          <w:szCs w:val="30"/>
        </w:rPr>
      </w:pPr>
    </w:p>
    <w:p w14:paraId="157469DF">
      <w:pPr>
        <w:pStyle w:val="5"/>
        <w:shd w:val="clear" w:color="auto" w:fill="FFFFFF"/>
        <w:spacing w:before="0" w:beforeAutospacing="0" w:after="0" w:afterAutospacing="0"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FangSong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8BCA4F43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35D162">
    <w:pPr>
      <w:pStyle w:val="4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1845DF3C"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7755EB7"/>
    <w:rsid w:val="38BB76AB"/>
    <w:rsid w:val="4B2B7ADF"/>
    <w:rsid w:val="4CB80725"/>
    <w:rsid w:val="52734B8D"/>
    <w:rsid w:val="53BA549F"/>
    <w:rsid w:val="63AE504B"/>
    <w:rsid w:val="685124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0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/>
    </w:pPr>
  </w:style>
  <w:style w:type="paragraph" w:styleId="6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styleId="9">
    <w:name w:val="FollowedHyperlink"/>
    <w:qFormat/>
    <w:uiPriority w:val="0"/>
    <w:rPr>
      <w:color w:val="800080"/>
      <w:u w:val="single"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yperlink"/>
    <w:basedOn w:val="8"/>
    <w:unhideWhenUsed/>
    <w:qFormat/>
    <w:uiPriority w:val="99"/>
    <w:rPr>
      <w:color w:val="0563C1"/>
      <w:u w:val="single"/>
    </w:rPr>
  </w:style>
  <w:style w:type="paragraph" w:customStyle="1" w:styleId="12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Organization</Company>
  <Pages>2</Pages>
  <Words>321</Words>
  <Characters>459</Characters>
  <Lines>6</Lines>
  <Paragraphs>1</Paragraphs>
  <TotalTime>16</TotalTime>
  <ScaleCrop>false</ScaleCrop>
  <LinksUpToDate>false</LinksUpToDate>
  <CharactersWithSpaces>479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2023-01-15T01:07:00Z</dcterms:created>
  <dc:creator>韩颖婕</dc:creator>
  <cp:lastModifiedBy>如梦(巴音桑)</cp:lastModifiedBy>
  <dcterms:modified xsi:type="dcterms:W3CDTF">2026-02-06T03:20:24Z</dcterms:modified>
  <dc:title>数字货币国际资讯日报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52A5E5E12F244FB6995394ACF1A9DAB0_13</vt:lpwstr>
  </property>
  <property fmtid="{D5CDD505-2E9C-101B-9397-08002B2CF9AE}" pid="4" name="KSOTemplateDocerSaveRecord">
    <vt:lpwstr>eyJoZGlkIjoiZDdlMmMxYjZmNWI2NWViYjU5YTVjZmFlMmU1MDQxMzMiLCJ1c2VySWQiOiI2NTY1OTY3NTIifQ==</vt:lpwstr>
  </property>
</Properties>
</file>