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9FC51">
      <w:pPr>
        <w:jc w:val="center"/>
        <w:rPr>
          <w:rFonts w:ascii="华文隶书" w:hAnsi="华文隶书" w:eastAsia="华文隶书"/>
          <w:i/>
          <w:iCs/>
          <w:sz w:val="88"/>
          <w:szCs w:val="88"/>
        </w:rPr>
      </w:pPr>
      <w:r>
        <w:rPr>
          <w:rFonts w:hint="eastAsia" w:eastAsia="华文行楷"/>
          <w:iCs/>
          <w:color w:val="FF0000"/>
          <w:spacing w:val="-20"/>
          <w:w w:val="90"/>
          <w:sz w:val="88"/>
          <w:szCs w:val="88"/>
        </w:rPr>
        <w:t>数字货币国际资讯日报</w:t>
      </w:r>
    </w:p>
    <w:p w14:paraId="123E26DE">
      <w:pPr>
        <w:pBdr>
          <w:bottom w:val="single" w:color="FF0000" w:sz="12" w:space="1"/>
        </w:pBdr>
        <w:rPr>
          <w:rFonts w:ascii="Times New Roman" w:hAnsi="Times New Roman" w:eastAsia="楷体_GB2312" w:cs="Times New Roman"/>
          <w:iCs/>
          <w:sz w:val="30"/>
        </w:rPr>
      </w:pPr>
    </w:p>
    <w:p w14:paraId="7FC78509">
      <w:pPr>
        <w:pBdr>
          <w:bottom w:val="single" w:color="FF0000" w:sz="12" w:space="1"/>
        </w:pBdr>
        <w:rPr>
          <w:rFonts w:hint="eastAsia" w:ascii="黑体" w:hAnsi="黑体" w:eastAsia="黑体" w:cs="黑体"/>
          <w:b w:val="0"/>
          <w:bCs w:val="0"/>
          <w:sz w:val="30"/>
          <w:szCs w:val="30"/>
          <w:lang w:val="en-US" w:eastAsia="zh-CN"/>
        </w:rPr>
      </w:pPr>
      <w:r>
        <w:rPr>
          <w:rFonts w:ascii="FangSong_GB2312" w:hAnsi="FangSong_GB2312" w:eastAsia="FangSong_GB2312" w:cs="FangSong_GB2312"/>
          <w:b w:val="0"/>
          <w:sz w:val="32"/>
        </w:rPr>
        <w:t>新疆维吾尔自治区分行                 2026年3月5日</w:t>
      </w:r>
    </w:p>
    <w:bookmarkEnd w:id="0"/>
    <w:p>
      <w:pPr>
        <w:spacing w:before="240" w:after="120"/>
      </w:pPr>
      <w:r>
        <w:rPr>
          <w:rFonts w:ascii="SimHei" w:hAnsi="SimHei" w:eastAsia="SimHei" w:cs="SimHei"/>
          <w:b/>
          <w:sz w:val="32"/>
        </w:rPr>
        <w:t>一、美联储理事会关于召开2026年2月9日闭门会议的通知</w:t>
      </w:r>
    </w:p>
    <w:p>
      <w:pPr>
        <w:spacing w:line="360" w:lineRule="auto"/>
        <w:ind w:firstLine="640"/>
        <w:jc w:val="both"/>
      </w:pPr>
      <w:r>
        <w:rPr>
          <w:rFonts w:ascii="FangSong_GB2312" w:hAnsi="FangSong_GB2312" w:eastAsia="FangSong_GB2312" w:cs="FangSong_GB2312"/>
          <w:b w:val="0"/>
          <w:sz w:val="32"/>
        </w:rPr>
        <w:t>美联储理事会将于2026年2月9日召开闭门会议，审议并确定联邦储备银行将收取的贴现率和联邦基金利率。会议遵循相关公开观察规则，旨在常规货币政策框架下进行决策。此次会议不涉及数字货币或加密资产议题。</w:t>
      </w:r>
    </w:p>
    <w:p>
      <w:pPr>
        <w:spacing w:after="240"/>
        <w:ind w:left="0" w:firstLine="0"/>
        <w:jc w:val="left"/>
      </w:pPr>
      <w:r>
        <w:rPr>
          <w:rFonts w:ascii="FangSong_GB2312" w:hAnsi="FangSong_GB2312" w:eastAsia="FangSong_GB2312" w:cs="FangSong_GB2312"/>
          <w:b w:val="0"/>
          <w:sz w:val="32"/>
        </w:rPr>
        <w:t>（美国：https://www.federalreserve.gov/aboutthefed/boardmeetings/20260209closed.htm）</w:t>
      </w:r>
    </w:p>
    <w:p>
      <w:pPr>
        <w:spacing w:before="240" w:after="120"/>
      </w:pPr>
      <w:r>
        <w:rPr>
          <w:rFonts w:ascii="SimHei" w:hAnsi="SimHei" w:eastAsia="SimHei" w:cs="SimHei"/>
          <w:b/>
          <w:sz w:val="32"/>
        </w:rPr>
        <w:t>二、结构性变革——加拿大的十字路口</w:t>
      </w:r>
    </w:p>
    <w:p>
      <w:pPr>
        <w:spacing w:line="360" w:lineRule="auto"/>
        <w:ind w:firstLine="640"/>
        <w:jc w:val="both"/>
      </w:pPr>
      <w:r>
        <w:rPr>
          <w:rFonts w:ascii="FangSong_GB2312" w:hAnsi="FangSong_GB2312" w:eastAsia="FangSong_GB2312" w:cs="FangSong_GB2312"/>
          <w:b w:val="0"/>
          <w:sz w:val="32"/>
        </w:rPr>
        <w:t>加拿大央行行长蒂姆·米勒在帝国俱乐部发表年度首场演讲，阐述结构性变革对经济的重塑作用。他指出，受美国保护主义、人工智能及人口增长放缓影响，加拿大经济面临十字路口。央行维持2.25%的政策利率不变，预计经济将温和增长，通胀将接近2%的目标。面对地缘政治风险及美国贸易政策的不确定性，米勒强调央行将致力于维持低且稳定的通胀，并协助经济平稳度过转型期。他指出，加拿大企业正积极调整以适应美国保护主义，寻找新供应商与市场，尽管这一重组过程耗时较长，但长期将增强经济韧性。</w:t>
      </w:r>
    </w:p>
    <w:p>
      <w:pPr>
        <w:spacing w:after="240"/>
        <w:ind w:left="0" w:firstLine="0"/>
        <w:jc w:val="left"/>
      </w:pPr>
      <w:r>
        <w:rPr>
          <w:rFonts w:ascii="FangSong_GB2312" w:hAnsi="FangSong_GB2312" w:eastAsia="FangSong_GB2312" w:cs="FangSong_GB2312"/>
          <w:b w:val="0"/>
          <w:sz w:val="32"/>
        </w:rPr>
        <w:t>（加拿大：https://www.bankofcanada.ca/2026/02/structural-change-canada-at-a-crossroads/）</w:t>
      </w:r>
    </w:p>
    <w:p>
      <w:pPr>
        <w:spacing w:before="240" w:after="120"/>
      </w:pPr>
      <w:r>
        <w:rPr>
          <w:rFonts w:ascii="SimHei" w:hAnsi="SimHei" w:eastAsia="SimHei" w:cs="SimHei"/>
          <w:b/>
          <w:sz w:val="32"/>
        </w:rPr>
        <w:t>三、瑞典央行参与反周期资本缓冲政策协商</w:t>
      </w:r>
    </w:p>
    <w:p>
      <w:pPr>
        <w:spacing w:line="360" w:lineRule="auto"/>
        <w:ind w:firstLine="640"/>
        <w:jc w:val="both"/>
      </w:pPr>
      <w:r>
        <w:rPr>
          <w:rFonts w:ascii="FangSong_GB2312" w:hAnsi="FangSong_GB2312" w:eastAsia="FangSong_GB2312" w:cs="FangSong_GB2312"/>
          <w:b w:val="0"/>
          <w:sz w:val="32"/>
        </w:rPr>
        <w:t>瑞典央行（Riksbank）近日参与了与金融监管局Finansinspektionen的合作会议，就反周期资本缓冲（CCyB）政策发表意见。瑞典央行建议将CCyB维持在2%的正常水平，供Finansinspektionen于2026年第一季度决策参考。Finansinspektionen作为瑞典宏审明政策的执行机构，需每季度计算CCyB指引并调整相关利率，瑞典央行对此有权提出建议。</w:t>
      </w:r>
    </w:p>
    <w:p>
      <w:pPr>
        <w:spacing w:after="240"/>
        <w:ind w:left="0" w:firstLine="0"/>
        <w:jc w:val="left"/>
      </w:pPr>
      <w:r>
        <w:rPr>
          <w:rFonts w:ascii="FangSong_GB2312" w:hAnsi="FangSong_GB2312" w:eastAsia="FangSong_GB2312" w:cs="FangSong_GB2312"/>
          <w:b w:val="0"/>
          <w:sz w:val="32"/>
        </w:rPr>
        <w:t>（瑞典：https://www.riksbank.se/en-gb/press-and-published/notices-and-press-releases/notices/2026/cooperation-with-finansinspektionen-on-the-countercyclical-capital-buffer/）</w:t>
      </w:r>
    </w:p>
    <w:p>
      <w:pPr>
        <w:spacing w:before="240" w:after="120"/>
      </w:pPr>
      <w:r>
        <w:rPr>
          <w:rFonts w:ascii="SimHei" w:hAnsi="SimHei" w:eastAsia="SimHei" w:cs="SimHei"/>
          <w:b/>
          <w:sz w:val="32"/>
        </w:rPr>
        <w:t>四、中文标题（请按正式公文风格翻译，准确简练）</w:t>
      </w:r>
    </w:p>
    <w:p>
      <w:pPr>
        <w:spacing w:line="360" w:lineRule="auto"/>
        <w:ind w:firstLine="640"/>
        <w:jc w:val="both"/>
      </w:pPr>
      <w:r>
        <w:rPr>
          <w:rFonts w:ascii="FangSong_GB2312" w:hAnsi="FangSong_GB2312" w:eastAsia="FangSong_GB2312" w:cs="FangSong_GB2312"/>
          <w:b w:val="0"/>
          <w:sz w:val="32"/>
        </w:rPr>
        <w:t>2025年政府债务显著上升，但利率支出低，信用评级维持AAA。央行推进数字货币政策，发行绿色政府债券，强化风险管理。</w:t>
      </w:r>
    </w:p>
    <w:p>
      <w:pPr>
        <w:spacing w:after="240"/>
        <w:ind w:left="0" w:firstLine="0"/>
        <w:jc w:val="left"/>
      </w:pPr>
      <w:r>
        <w:rPr>
          <w:rFonts w:ascii="FangSong_GB2312" w:hAnsi="FangSong_GB2312" w:eastAsia="FangSong_GB2312" w:cs="FangSong_GB2312"/>
          <w:b w:val="0"/>
          <w:sz w:val="32"/>
        </w:rPr>
        <w:t>（丹麦：https://www.nationalbanken.dk/en/news-and-knowledge/publications-and-speeches/report/2026/central-government-borrowing-and-debt-2025）</w:t>
      </w:r>
    </w:p>
    <w:p>
      <w:pPr>
        <w:spacing w:before="240" w:after="120"/>
      </w:pPr>
      <w:r>
        <w:rPr>
          <w:rFonts w:ascii="SimHei" w:hAnsi="SimHei" w:eastAsia="SimHei" w:cs="SimHei"/>
          <w:b/>
          <w:sz w:val="32"/>
        </w:rPr>
        <w:t>五、英格兰银行维持基准利率于3.75%——2026年2月货币政策摘要与纪要</w:t>
      </w:r>
    </w:p>
    <w:p>
      <w:pPr>
        <w:spacing w:line="360" w:lineRule="auto"/>
        <w:ind w:firstLine="640"/>
        <w:jc w:val="both"/>
      </w:pPr>
      <w:r>
        <w:rPr>
          <w:rFonts w:ascii="FangSong_GB2312" w:hAnsi="FangSong_GB2312" w:eastAsia="FangSong_GB2312" w:cs="FangSong_GB2312"/>
          <w:b w:val="0"/>
          <w:sz w:val="32"/>
        </w:rPr>
        <w:t>英格兰银行货币政策委员会（MPC）在2月会议结束时，以5票对4票的多数维持基准利率在3.75%不变。尽管当前通胀率仍高于2%的目标水平，但委员会预计，受能源价格走势及2025年预算案等因素影响，通胀将从4月起回落至目标水平附近。鉴于货币政策效应显现，且经济增长疲软及劳动力市场出现闲置迹象，薪资增长与服务价格通胀持续走弱。委员会认为，通胀持续的风险有所减弱，但需求疲软及劳动力市场宽松带来的通胀风险依然存在。货币政策旨在确保通胀稳定。</w:t>
      </w:r>
    </w:p>
    <w:p>
      <w:pPr>
        <w:spacing w:after="240"/>
        <w:ind w:left="0" w:firstLine="0"/>
        <w:jc w:val="left"/>
      </w:pPr>
      <w:r>
        <w:rPr>
          <w:rFonts w:ascii="FangSong_GB2312" w:hAnsi="FangSong_GB2312" w:eastAsia="FangSong_GB2312" w:cs="FangSong_GB2312"/>
          <w:b w:val="0"/>
          <w:sz w:val="32"/>
        </w:rPr>
        <w:t>（英国：https://www.bankofengland.co.uk/monetary-policy-summary-and-minutes/2026/february-2026）</w:t>
      </w:r>
    </w:p>
    <w:p>
      <w:pPr>
        <w:spacing w:before="240" w:after="120"/>
      </w:pPr>
      <w:r>
        <w:rPr>
          <w:rFonts w:ascii="SimHei" w:hAnsi="SimHei" w:eastAsia="SimHei" w:cs="SimHei"/>
          <w:b/>
          <w:sz w:val="32"/>
        </w:rPr>
        <w:t>六、Bank of England Weekly Report 4 February 2026</w:t>
      </w:r>
    </w:p>
    <w:p>
      <w:pPr>
        <w:spacing w:line="360" w:lineRule="auto"/>
        <w:ind w:firstLine="640"/>
        <w:jc w:val="both"/>
      </w:pPr>
      <w:r>
        <w:rPr>
          <w:rFonts w:ascii="FangSong_GB2312" w:hAnsi="FangSong_GB2312" w:eastAsia="FangSong_GB2312" w:cs="FangSong_GB2312"/>
          <w:b w:val="0"/>
          <w:sz w:val="32"/>
        </w:rPr>
        <w:t>Our weekly report contains the latest data on our assets and liabilities. We publish it every Thursday.</w:t>
      </w:r>
    </w:p>
    <w:p>
      <w:pPr>
        <w:spacing w:after="240"/>
        <w:ind w:left="0" w:firstLine="0"/>
        <w:jc w:val="left"/>
      </w:pPr>
      <w:r>
        <w:rPr>
          <w:rFonts w:ascii="FangSong_GB2312" w:hAnsi="FangSong_GB2312" w:eastAsia="FangSong_GB2312" w:cs="FangSong_GB2312"/>
          <w:b w:val="0"/>
          <w:sz w:val="32"/>
        </w:rPr>
        <w:t>（英国：https://www.bankofengland.co.uk/weekly-report/2026/4-february-2026）</w:t>
      </w:r>
    </w:p>
    <w:p>
      <w:pPr>
        <w:spacing w:before="240" w:after="120"/>
      </w:pPr>
      <w:r>
        <w:rPr>
          <w:rFonts w:ascii="SimHei" w:hAnsi="SimHei" w:eastAsia="SimHei" w:cs="SimHei"/>
          <w:b/>
          <w:sz w:val="32"/>
        </w:rPr>
        <w:t>七、中文标题（请按正式公文风格翻译，准确简练）</w:t>
      </w:r>
    </w:p>
    <w:p>
      <w:pPr>
        <w:spacing w:line="360" w:lineRule="auto"/>
        <w:ind w:firstLine="640"/>
        <w:jc w:val="both"/>
      </w:pPr>
      <w:r>
        <w:rPr>
          <w:rFonts w:ascii="FangSong_GB2312" w:hAnsi="FangSong_GB2312" w:eastAsia="FangSong_GB2312" w:cs="FangSong_GB2312"/>
          <w:b w:val="0"/>
          <w:sz w:val="32"/>
        </w:rPr>
        <w:t>资讯未涉及央行数字货币领域，仅讨论企业自身价格与CPI预期，聚焦宏观经济指标。</w:t>
      </w:r>
    </w:p>
    <w:p>
      <w:pPr>
        <w:spacing w:after="240"/>
        <w:ind w:left="0" w:firstLine="0"/>
        <w:jc w:val="left"/>
      </w:pPr>
      <w:r>
        <w:rPr>
          <w:rFonts w:ascii="FangSong_GB2312" w:hAnsi="FangSong_GB2312" w:eastAsia="FangSong_GB2312" w:cs="FangSong_GB2312"/>
          <w:b w:val="0"/>
          <w:sz w:val="32"/>
        </w:rPr>
        <w:t>（英国：https://www.bankofengland.co.uk/decision-maker-panel/2026/january-2026）</w:t>
      </w:r>
    </w:p>
    <w:p>
      <w:pPr>
        <w:spacing w:before="240" w:after="120"/>
      </w:pPr>
      <w:r>
        <w:rPr>
          <w:rFonts w:ascii="SimHei" w:hAnsi="SimHei" w:eastAsia="SimHei" w:cs="SimHei"/>
          <w:b/>
          <w:sz w:val="32"/>
        </w:rPr>
        <w:t>八、英国代理商业务状况摘要 - 2026年2月</w:t>
      </w:r>
    </w:p>
    <w:p>
      <w:pPr>
        <w:spacing w:line="360" w:lineRule="auto"/>
        <w:ind w:firstLine="640"/>
        <w:jc w:val="both"/>
      </w:pPr>
      <w:r>
        <w:rPr>
          <w:rFonts w:ascii="FangSong_GB2312" w:hAnsi="FangSong_GB2312" w:eastAsia="FangSong_GB2312" w:cs="FangSong_GB2312"/>
          <w:b w:val="0"/>
          <w:sz w:val="32"/>
        </w:rPr>
        <w:t>该报告总结了英国代理商在2026年2月期间的业务状况，基于其网络与众多企业进行的讨论。报告指出经济表现不佳，部分行业预计在2026年将出现轻微复苏。就业和工资意愿保持略微负面，工资调查显示2026年的结算平均工资将下降至3.4%，较2025年的4%有所降低。消费者企业报告的通货膨胀压力减弱，但利润空间受到挤压。报告内容主要来自英国货币政策委员会于2026年2月会议考虑的代理商情报，以及2026年代理商工资调查的结果。该报告并未提及央行数字货币或相关政策。</w:t>
      </w:r>
    </w:p>
    <w:p>
      <w:pPr>
        <w:spacing w:after="240"/>
        <w:ind w:left="0" w:firstLine="0"/>
        <w:jc w:val="left"/>
      </w:pPr>
      <w:r>
        <w:rPr>
          <w:rFonts w:ascii="FangSong_GB2312" w:hAnsi="FangSong_GB2312" w:eastAsia="FangSong_GB2312" w:cs="FangSong_GB2312"/>
          <w:b w:val="0"/>
          <w:sz w:val="32"/>
        </w:rPr>
        <w:t>（英国：https://www.bankofengland.co.uk/agents-summary/2026/february-2026）</w:t>
      </w:r>
    </w:p>
    <w:p>
      <w:pPr>
        <w:spacing w:before="240" w:after="120"/>
      </w:pPr>
      <w:r>
        <w:rPr>
          <w:rFonts w:ascii="SimHei" w:hAnsi="SimHei" w:eastAsia="SimHei" w:cs="SimHei"/>
          <w:b/>
          <w:sz w:val="32"/>
        </w:rPr>
        <w:t>九、2026年2月货币政策报告</w:t>
      </w:r>
    </w:p>
    <w:p>
      <w:pPr>
        <w:spacing w:line="360" w:lineRule="auto"/>
        <w:ind w:firstLine="640"/>
        <w:jc w:val="both"/>
      </w:pPr>
      <w:r>
        <w:rPr>
          <w:rFonts w:ascii="FangSong_GB2312" w:hAnsi="FangSong_GB2312" w:eastAsia="FangSong_GB2312" w:cs="FangSong_GB2312"/>
          <w:b w:val="0"/>
          <w:sz w:val="32"/>
        </w:rPr>
        <w:t>2026年2月，货币政策委员会以5票对4票的多数通过维持银行利率在3.75%的水平。尽管当前CPI通胀高于2%的目标，但预计从4月起将回落至目标水平，这主要归因于2025年预算对能源价格的影响。报告显示，劳动力市场出现松动，工资增长和服务价格通胀总体持续缓和。通胀持续恶化的风险有所减弱，但需求疲软和劳动力市场松动对通胀构成风险。货币政策的设定旨在确保CPI通胀不仅达到2%的目标，而且在中期内保持可持续。报告强调了在实现通胀目标和维持经济稳定之间的平衡。</w:t>
      </w:r>
    </w:p>
    <w:p>
      <w:pPr>
        <w:spacing w:after="240"/>
        <w:ind w:left="0" w:firstLine="0"/>
        <w:jc w:val="left"/>
      </w:pPr>
      <w:r>
        <w:rPr>
          <w:rFonts w:ascii="FangSong_GB2312" w:hAnsi="FangSong_GB2312" w:eastAsia="FangSong_GB2312" w:cs="FangSong_GB2312"/>
          <w:b w:val="0"/>
          <w:sz w:val="32"/>
        </w:rPr>
        <w:t>（英国：https://www.bankofengland.co.uk/monetary-policy-report/2026/february-2026）</w:t>
      </w:r>
    </w:p>
    <w:p>
      <w:pPr>
        <w:spacing w:before="240" w:after="120"/>
      </w:pPr>
      <w:r>
        <w:rPr>
          <w:rFonts w:ascii="SimHei" w:hAnsi="SimHei" w:eastAsia="SimHei" w:cs="SimHei"/>
          <w:b/>
          <w:sz w:val="32"/>
        </w:rPr>
        <w:t>十、日本政策委员MASU在Ehime的演讲：日本的经济活动、价格和货币政策</w:t>
      </w:r>
    </w:p>
    <w:p>
      <w:pPr>
        <w:spacing w:line="360" w:lineRule="auto"/>
        <w:ind w:firstLine="640"/>
        <w:jc w:val="both"/>
      </w:pPr>
      <w:r>
        <w:rPr>
          <w:rFonts w:ascii="FangSong_GB2312" w:hAnsi="FangSong_GB2312" w:eastAsia="FangSong_GB2312" w:cs="FangSong_GB2312"/>
          <w:b w:val="0"/>
          <w:sz w:val="32"/>
        </w:rPr>
        <w:t>日本政策委员MASU Kazuyuki在Ehime的演讲中分析了日本当前经济活动、价格水平和货币政策。演讲重点在于评估经济增长趋势、通胀压力和央行工具的有效性，但未涉及数字货币、CBDC或相关技术框架。内容仅限于传统货币政策讨论，无加密货币、反洗钱或数字信贷业务提及。</w:t>
      </w:r>
    </w:p>
    <w:p>
      <w:pPr>
        <w:spacing w:after="240"/>
        <w:ind w:left="0" w:firstLine="0"/>
        <w:jc w:val="left"/>
      </w:pPr>
      <w:r>
        <w:rPr>
          <w:rFonts w:ascii="FangSong_GB2312" w:hAnsi="FangSong_GB2312" w:eastAsia="FangSong_GB2312" w:cs="FangSong_GB2312"/>
          <w:b w:val="0"/>
          <w:sz w:val="32"/>
        </w:rPr>
        <w:t>（日本：http://www.boj.or.jp/en/about/press/koen_2026/ko260206a.htm）</w:t>
      </w:r>
    </w:p>
    <w:p>
      <w:pPr>
        <w:spacing w:before="240" w:after="120"/>
      </w:pPr>
      <w:r>
        <w:rPr>
          <w:rFonts w:ascii="SimHei" w:hAnsi="SimHei" w:eastAsia="SimHei" w:cs="SimHei"/>
          <w:b/>
          <w:sz w:val="32"/>
        </w:rPr>
        <w:t>十一、日本银行2026年1月与政府的交易</w:t>
      </w:r>
    </w:p>
    <w:p>
      <w:pPr>
        <w:spacing w:line="360" w:lineRule="auto"/>
        <w:ind w:firstLine="640"/>
        <w:jc w:val="both"/>
      </w:pPr>
      <w:r>
        <w:rPr>
          <w:rFonts w:ascii="FangSong_GB2312" w:hAnsi="FangSong_GB2312" w:eastAsia="FangSong_GB2312" w:cs="FangSong_GB2312"/>
          <w:b w:val="0"/>
          <w:sz w:val="32"/>
        </w:rPr>
        <w:t>日本银行于2026年1月与政府进行了多项债券交易，包括政府短期债券和长期国债的买卖及借換操作。数据显示，日本银行通过对政府债务的管理，维持了金融体系的稳定性。这些交易均属于传统货币市场的常规操作，未涉及任何数字货币或央行数字货币（CBDC）相关的技术或政策框架。</w:t>
      </w:r>
    </w:p>
    <w:p>
      <w:pPr>
        <w:spacing w:after="240"/>
        <w:ind w:left="0" w:firstLine="0"/>
        <w:jc w:val="left"/>
      </w:pPr>
      <w:r>
        <w:rPr>
          <w:rFonts w:ascii="FangSong_GB2312" w:hAnsi="FangSong_GB2312" w:eastAsia="FangSong_GB2312" w:cs="FangSong_GB2312"/>
          <w:b w:val="0"/>
          <w:sz w:val="32"/>
        </w:rPr>
        <w:t>（日本：http://www.boj.or.jp/en/statistics/boj/other/tseifu/release/2026/seifu2601.pdf）</w:t>
      </w:r>
    </w:p>
    <w:p>
      <w:pPr>
        <w:spacing w:before="240" w:after="120"/>
      </w:pPr>
      <w:r>
        <w:rPr>
          <w:rFonts w:ascii="SimHei" w:hAnsi="SimHei" w:eastAsia="SimHei" w:cs="SimHei"/>
          <w:b/>
          <w:sz w:val="32"/>
        </w:rPr>
        <w:t>十二、日本央行1月货币基础及交易数据</w:t>
      </w:r>
    </w:p>
    <w:p>
      <w:pPr>
        <w:spacing w:line="360" w:lineRule="auto"/>
        <w:ind w:firstLine="640"/>
        <w:jc w:val="both"/>
      </w:pPr>
      <w:r>
        <w:rPr>
          <w:rFonts w:ascii="FangSong_GB2312" w:hAnsi="FangSong_GB2312" w:eastAsia="FangSong_GB2312" w:cs="FangSong_GB2312"/>
          <w:b w:val="0"/>
          <w:sz w:val="32"/>
        </w:rPr>
        <w:t>日本央行1月发布的货币基础及交易数据显示，货币基础继续增长，但增速放缓。主要数据包括长期国债买入和卖出、短期国债交易等。该报告主要反映了日本央行在维持宽松货币政策以及管理金融市场方面的操作情况，与央行数字货币政策无关。虽然数据本身不直接涉及CBDC，但其货币政策操作是影响未来CBDC发展的重要因素之一。该报告关注的是日本央行的传统货币政策工具和市场流动性管理，而非数字货币领域。</w:t>
      </w:r>
    </w:p>
    <w:p>
      <w:pPr>
        <w:spacing w:after="240"/>
        <w:ind w:left="0" w:firstLine="0"/>
        <w:jc w:val="left"/>
      </w:pPr>
      <w:r>
        <w:rPr>
          <w:rFonts w:ascii="FangSong_GB2312" w:hAnsi="FangSong_GB2312" w:eastAsia="FangSong_GB2312" w:cs="FangSong_GB2312"/>
          <w:b w:val="0"/>
          <w:sz w:val="32"/>
        </w:rPr>
        <w:t>（日本：http://www.boj.or.jp/en/statistics/boj/other/mbt/mbt2601.pdf）</w:t>
      </w:r>
    </w:p>
    <w:p>
      <w:pPr>
        <w:spacing w:before="240" w:after="120"/>
      </w:pPr>
      <w:r>
        <w:rPr>
          <w:rFonts w:ascii="SimHei" w:hAnsi="SimHei" w:eastAsia="SimHei" w:cs="SimHei"/>
          <w:b/>
          <w:sz w:val="32"/>
        </w:rPr>
        <w:t>十三、日本银行一月市场操作</w:t>
      </w:r>
    </w:p>
    <w:p>
      <w:pPr>
        <w:spacing w:line="360" w:lineRule="auto"/>
        <w:ind w:firstLine="640"/>
        <w:jc w:val="both"/>
      </w:pPr>
      <w:r>
        <w:rPr>
          <w:rFonts w:ascii="FangSong_GB2312" w:hAnsi="FangSong_GB2312" w:eastAsia="FangSong_GB2312" w:cs="FangSong_GB2312"/>
          <w:b w:val="0"/>
          <w:sz w:val="32"/>
        </w:rPr>
        <w:t>日本银行公布一月市场操作计划，涉及传统货币政策工具如公开市场操作和存款准备金调整。未提及数字货币政策框架、数字人民币或数字美元等CBDC概念。</w:t>
      </w:r>
    </w:p>
    <w:p>
      <w:pPr>
        <w:spacing w:after="240"/>
        <w:ind w:left="0" w:firstLine="0"/>
        <w:jc w:val="left"/>
      </w:pPr>
      <w:r>
        <w:rPr>
          <w:rFonts w:ascii="FangSong_GB2312" w:hAnsi="FangSong_GB2312" w:eastAsia="FangSong_GB2312" w:cs="FangSong_GB2312"/>
          <w:b w:val="0"/>
          <w:sz w:val="32"/>
        </w:rPr>
        <w:t>（日本：http://www.boj.or.jp/en/statistics/boj/fm/ope/m_release/2026/ope2601.xlsx）</w:t>
      </w:r>
    </w:p>
    <w:p>
      <w:pPr>
        <w:spacing w:before="240" w:after="120"/>
      </w:pPr>
      <w:r>
        <w:rPr>
          <w:rFonts w:ascii="SimHei" w:hAnsi="SimHei" w:eastAsia="SimHei" w:cs="SimHei"/>
          <w:b/>
          <w:sz w:val="32"/>
        </w:rPr>
        <w:t>十四、韩国与印尼续签双边货币互换协议</w:t>
      </w:r>
    </w:p>
    <w:p>
      <w:pPr>
        <w:spacing w:line="360" w:lineRule="auto"/>
        <w:ind w:firstLine="640"/>
        <w:jc w:val="both"/>
      </w:pPr>
      <w:r>
        <w:rPr>
          <w:rFonts w:ascii="FangSong_GB2312" w:hAnsi="FangSong_GB2312" w:eastAsia="FangSong_GB2312" w:cs="FangSong_GB2312"/>
          <w:b w:val="0"/>
          <w:sz w:val="32"/>
        </w:rPr>
        <w:t>韩国银行与印尼银行今日宣布续签双边货币互换协议（BCSA），协议有效期自2026年3月6日至2031年3月5日。该协议旨在通过双边流动性机制支持双方经济体的跨境支付与金融稳定，具体条款详见附件。本次续签未涉及数字货币或央行数字货币（CBDC）相关内容，主要聚焦传统货币互换机制的优化与延续。</w:t>
      </w:r>
    </w:p>
    <w:p>
      <w:pPr>
        <w:spacing w:after="240"/>
        <w:ind w:left="0" w:firstLine="0"/>
        <w:jc w:val="left"/>
      </w:pPr>
      <w:r>
        <w:rPr>
          <w:rFonts w:ascii="FangSong_GB2312" w:hAnsi="FangSong_GB2312" w:eastAsia="FangSong_GB2312" w:cs="FangSong_GB2312"/>
          <w:b w:val="0"/>
          <w:sz w:val="32"/>
        </w:rPr>
        <w:t>（韩国：https://www.bok.or.kr/eng/bbs/E0000634/view.do?nttId=10096365&amp;menuNo=400069）</w:t>
      </w:r>
    </w:p>
    <w:p>
      <w:pPr>
        <w:spacing w:before="240" w:after="120"/>
      </w:pPr>
      <w:r>
        <w:rPr>
          <w:rFonts w:ascii="SimHei" w:hAnsi="SimHei" w:eastAsia="SimHei" w:cs="SimHei"/>
          <w:b/>
          <w:sz w:val="32"/>
        </w:rPr>
        <w:t>十五、韩国银行与印尼银行继续推进跨境二维码支付互联互通合作</w:t>
      </w:r>
    </w:p>
    <w:p>
      <w:pPr>
        <w:spacing w:line="360" w:lineRule="auto"/>
        <w:ind w:firstLine="640"/>
        <w:jc w:val="both"/>
      </w:pPr>
      <w:r>
        <w:rPr>
          <w:rFonts w:ascii="FangSong_GB2312" w:hAnsi="FangSong_GB2312" w:eastAsia="FangSong_GB2312" w:cs="FangSong_GB2312"/>
          <w:b w:val="0"/>
          <w:sz w:val="32"/>
        </w:rPr>
        <w:t>韩国银行（BOK）与印尼银行（BI）于2026年2月5日审查了跨境基于二维码支付服务的互联互通进展，并宣布将继续加强合作。此次会议聚焦于两国在跨境支付领域的技术对接工作，旨在提升跨境交易效率与安全性。双方未提及任何数字货币或央行数字货币（CBDC）相关内容，合作框架仍围绕传统支付系统的数字化升级展开。</w:t>
      </w:r>
    </w:p>
    <w:p>
      <w:pPr>
        <w:spacing w:after="240"/>
        <w:ind w:left="0" w:firstLine="0"/>
        <w:jc w:val="left"/>
      </w:pPr>
      <w:r>
        <w:rPr>
          <w:rFonts w:ascii="FangSong_GB2312" w:hAnsi="FangSong_GB2312" w:eastAsia="FangSong_GB2312" w:cs="FangSong_GB2312"/>
          <w:b w:val="0"/>
          <w:sz w:val="32"/>
        </w:rPr>
        <w:t>（韩国：https://www.bok.or.kr/eng/bbs/E0000634/view.do?nttId=10096355&amp;menuNo=400069）</w:t>
      </w:r>
    </w:p>
    <w:p>
      <w:pPr>
        <w:spacing w:before="240" w:after="120"/>
      </w:pPr>
      <w:r>
        <w:rPr>
          <w:rFonts w:ascii="SimHei" w:hAnsi="SimHei" w:eastAsia="SimHei" w:cs="SimHei"/>
          <w:b/>
          <w:sz w:val="32"/>
        </w:rPr>
        <w:t>十六、RBI imposes monetary penalty on Daund Urban Co-operative Bank Limited, Daund, Maharashtra</w:t>
      </w:r>
    </w:p>
    <w:p>
      <w:pPr>
        <w:spacing w:line="360" w:lineRule="auto"/>
        <w:ind w:firstLine="640"/>
        <w:jc w:val="both"/>
      </w:pPr>
      <w:r>
        <w:rPr>
          <w:rFonts w:ascii="FangSong_GB2312" w:hAnsi="FangSong_GB2312" w:eastAsia="FangSong_GB2312" w:cs="FangSong_GB2312"/>
          <w:b w:val="0"/>
          <w:sz w:val="32"/>
        </w:rPr>
        <w:t>The Reserve Bank of India (RBI) has, by an order dated February 02, 2026, imposed a monetary penalty of ₹5,000/- (Rupees Five Thousand only) on Daund Urban Co-operative Bank Limited, Daund, Pune, Maharashtra (the bank), for non-compliance with certain directions issued by RBI on ‘Credit Information Reporting’. This penalty has been imposed in exercise of powers conferred on RBI under the provisions of Section 25 read with Section 23 of the Credit Information Companies (Regulation) Act, 2005. A statutory inspection of the bank was conducted by RBI with reference to its financial position as on March 31, 2025. Based on supervisory findings of non-compliance with RBI directions and related correspondence in that regard, a notice was issued to the bank advising it to show cause as to why penalty should not be imposed on it for its failure to comply with the said directions. After considering the bank’s reply to the notice and oral submissions made during the personal hearing, RBI found, inter alia, that the following charge against the bank was sustained, warranting imposition of monetary penalty: The bank had failed to submit credit information of its customers to any of the Credit Information Companies (CICs). This action is based on deficiencies in regulatory compliance and is not intended to pronounce upon the validity of any transaction or agreement entered into by the bank with its customers. Further, imposition of monetary penalty is without prejudice to any other action that may be initiated by RBI against the bank. (Brij Raj) Chief General Manager Press Release: 2025-2026/2051</w:t>
      </w:r>
    </w:p>
    <w:p>
      <w:pPr>
        <w:spacing w:after="240"/>
        <w:ind w:left="0" w:firstLine="0"/>
        <w:jc w:val="left"/>
      </w:pPr>
      <w:r>
        <w:rPr>
          <w:rFonts w:ascii="FangSong_GB2312" w:hAnsi="FangSong_GB2312" w:eastAsia="FangSong_GB2312" w:cs="FangSong_GB2312"/>
          <w:b w:val="0"/>
          <w:sz w:val="32"/>
        </w:rPr>
        <w:t>（印度：https://www.rbi.org.in/scripts/BS_PressReleaseDisplay.aspx?prid=62167）</w:t>
      </w:r>
    </w:p>
    <w:p>
      <w:pPr>
        <w:spacing w:before="240" w:after="120"/>
      </w:pPr>
      <w:r>
        <w:rPr>
          <w:rFonts w:ascii="SimHei" w:hAnsi="SimHei" w:eastAsia="SimHei" w:cs="SimHei"/>
          <w:b/>
          <w:sz w:val="32"/>
        </w:rPr>
        <w:t>十七、印度孟加拉邦阿加塔合作城市银行违反监管规定被罚款</w:t>
      </w:r>
    </w:p>
    <w:p>
      <w:pPr>
        <w:spacing w:line="360" w:lineRule="auto"/>
        <w:ind w:firstLine="640"/>
        <w:jc w:val="both"/>
      </w:pPr>
      <w:r>
        <w:rPr>
          <w:rFonts w:ascii="FangSong_GB2312" w:hAnsi="FangSong_GB2312" w:eastAsia="FangSong_GB2312" w:cs="FangSong_GB2312"/>
          <w:b w:val="0"/>
          <w:sz w:val="32"/>
        </w:rPr>
        <w:t>印度孟加拉邦阿加塔合作城市银行违反央行暴露规范和法定限制，被罚款2万元。监管机构发现该银行违反了银行间（总）暴露限额和银行间对手方限额，并就此发出罚款通知。此行动基于监管合规缺陷，不涉及数字货币政策或技术基础设施。</w:t>
      </w:r>
    </w:p>
    <w:p>
      <w:pPr>
        <w:spacing w:after="240"/>
        <w:ind w:left="0" w:firstLine="0"/>
        <w:jc w:val="left"/>
      </w:pPr>
      <w:r>
        <w:rPr>
          <w:rFonts w:ascii="FangSong_GB2312" w:hAnsi="FangSong_GB2312" w:eastAsia="FangSong_GB2312" w:cs="FangSong_GB2312"/>
          <w:b w:val="0"/>
          <w:sz w:val="32"/>
        </w:rPr>
        <w:t>（印度：https://www.rbi.org.in/scripts/BS_PressReleaseDisplay.aspx?prid=62166）</w:t>
      </w:r>
    </w:p>
    <w:p>
      <w:pPr>
        <w:spacing w:before="240" w:after="120"/>
      </w:pPr>
      <w:r>
        <w:rPr>
          <w:rFonts w:ascii="SimHei" w:hAnsi="SimHei" w:eastAsia="SimHei" w:cs="SimHei"/>
          <w:b/>
          <w:sz w:val="32"/>
        </w:rPr>
        <w:t>十八、RBI对Jeypore Co-operative Urban Bank处以罚款</w:t>
      </w:r>
    </w:p>
    <w:p>
      <w:pPr>
        <w:spacing w:line="360" w:lineRule="auto"/>
        <w:ind w:firstLine="640"/>
        <w:jc w:val="both"/>
      </w:pPr>
      <w:r>
        <w:rPr>
          <w:rFonts w:ascii="FangSong_GB2312" w:hAnsi="FangSong_GB2312" w:eastAsia="FangSong_GB2312" w:cs="FangSong_GB2312"/>
          <w:b w:val="0"/>
          <w:sz w:val="32"/>
        </w:rPr>
        <w:t>央行对银行处以罚款，涉及数字人民币政策框架，违反了《银行法》相关监管要求。</w:t>
      </w:r>
    </w:p>
    <w:p>
      <w:pPr>
        <w:spacing w:after="240"/>
        <w:ind w:left="0" w:firstLine="0"/>
        <w:jc w:val="left"/>
      </w:pPr>
      <w:r>
        <w:rPr>
          <w:rFonts w:ascii="FangSong_GB2312" w:hAnsi="FangSong_GB2312" w:eastAsia="FangSong_GB2312" w:cs="FangSong_GB2312"/>
          <w:b w:val="0"/>
          <w:sz w:val="32"/>
        </w:rPr>
        <w:t>（印度：https://www.rbi.org.in/scripts/BS_PressReleaseDisplay.aspx?prid=62165）</w:t>
      </w:r>
    </w:p>
    <w:p>
      <w:pPr>
        <w:spacing w:before="240" w:after="120"/>
      </w:pPr>
      <w:r>
        <w:rPr>
          <w:rFonts w:ascii="SimHei" w:hAnsi="SimHei" w:eastAsia="SimHei" w:cs="SimHei"/>
          <w:b/>
          <w:sz w:val="32"/>
        </w:rPr>
        <w:t>十九、印度储备银行2026年2月5日公开市场操作购买拍卖结果及2月6日结算详情</w:t>
      </w:r>
    </w:p>
    <w:p>
      <w:pPr>
        <w:spacing w:line="360" w:lineRule="auto"/>
        <w:ind w:firstLine="640"/>
        <w:jc w:val="both"/>
      </w:pPr>
      <w:r>
        <w:rPr>
          <w:rFonts w:ascii="FangSong_GB2312" w:hAnsi="FangSong_GB2312" w:eastAsia="FangSong_GB2312" w:cs="FangSong_GB2312"/>
          <w:b w:val="0"/>
          <w:sz w:val="32"/>
        </w:rPr>
        <w:t>印度储备银行（RBI）于2026年2月5日开展公开市场操作（OMO）购买拍卖，并于2月6日完成结算。本次操作总通知购买规模（面值）为5万亿卢比，投标总量为8.7161万亿卢比，RBI全额接受5万亿卢比。操作涉及6.75% GS 2029至7.09% GS 2054等七期政府证券，各期限证券的投标、接受数量、截标收益率及加权平均收益率等细节均已公布。其中，6.79% GS 2034期证券对竞争性投标在截标价格处进行了56.44%的部分分配。此次OMO是RBI常规的流动性调节工具运用，旨在管理市场资金面，所有披露信息均围绕传统债券市场交易展开，未涉及央行数字货币（CBDC）相关政策、技术或试点内容。</w:t>
      </w:r>
    </w:p>
    <w:p>
      <w:pPr>
        <w:spacing w:after="240"/>
        <w:ind w:left="0" w:firstLine="0"/>
        <w:jc w:val="left"/>
      </w:pPr>
      <w:r>
        <w:rPr>
          <w:rFonts w:ascii="FangSong_GB2312" w:hAnsi="FangSong_GB2312" w:eastAsia="FangSong_GB2312" w:cs="FangSong_GB2312"/>
          <w:b w:val="0"/>
          <w:sz w:val="32"/>
        </w:rPr>
        <w:t>（印度：https://www.rbi.org.in/scripts/BS_PressReleaseDisplay.aspx?prid=62164）</w:t>
      </w:r>
    </w:p>
    <w:p>
      <w:pPr>
        <w:spacing w:before="240" w:after="120"/>
      </w:pPr>
      <w:r>
        <w:rPr>
          <w:rFonts w:ascii="SimHei" w:hAnsi="SimHei" w:eastAsia="SimHei" w:cs="SimHei"/>
          <w:b/>
          <w:sz w:val="32"/>
        </w:rPr>
        <w:t>二十、印度央行公开市场操作：2026年2月5日政府债券购入及成交价位</w:t>
      </w:r>
    </w:p>
    <w:p>
      <w:pPr>
        <w:spacing w:line="360" w:lineRule="auto"/>
        <w:ind w:firstLine="640"/>
        <w:jc w:val="both"/>
      </w:pPr>
      <w:r>
        <w:rPr>
          <w:rFonts w:ascii="FangSong_GB2312" w:hAnsi="FangSong_GB2312" w:eastAsia="FangSong_GB2312" w:cs="FangSong_GB2312"/>
          <w:b w:val="0"/>
          <w:sz w:val="32"/>
        </w:rPr>
        <w:t>印度储备银行（RBI）于2026年2月5日进行了公开市场操作，购入政府债券。此次操作涉及多种票面和期限的政府债券，总金额为5000亿卢比。公开市场操作的成交价位和收益率均被公布，但未披露具体成交量。此次操作旨在调节市场流动性，维护印度金融体系的稳定。公开市场操作是印度央行维持宏观经济稳定和管理货币供应的重要工具。此次操作数据反映了印度政府债券市场当前的供需情况以及RBI对市场流动性的控制力度。虽然公开市场操作与货币政策相关，但并未直接涉及央行数字货币的研发、发行或监管等核心议题。</w:t>
      </w:r>
    </w:p>
    <w:p>
      <w:pPr>
        <w:spacing w:after="240"/>
        <w:ind w:left="0" w:firstLine="0"/>
        <w:jc w:val="left"/>
      </w:pPr>
      <w:r>
        <w:rPr>
          <w:rFonts w:ascii="FangSong_GB2312" w:hAnsi="FangSong_GB2312" w:eastAsia="FangSong_GB2312" w:cs="FangSong_GB2312"/>
          <w:b w:val="0"/>
          <w:sz w:val="32"/>
        </w:rPr>
        <w:t>（印度：https://www.rbi.org.in/scripts/BS_PressReleaseDisplay.aspx?prid=62163）</w:t>
      </w:r>
    </w:p>
    <w:p>
      <w:pPr>
        <w:spacing w:before="240" w:after="120"/>
      </w:pPr>
      <w:r>
        <w:rPr>
          <w:rFonts w:ascii="SimHei" w:hAnsi="SimHei" w:eastAsia="SimHei" w:cs="SimHei"/>
          <w:b/>
          <w:sz w:val="32"/>
        </w:rPr>
        <w:t>二十一、印度储备银行对Vinayaka Capsec Private Limited处以罚款</w:t>
      </w:r>
    </w:p>
    <w:p>
      <w:pPr>
        <w:spacing w:line="360" w:lineRule="auto"/>
        <w:ind w:firstLine="640"/>
        <w:jc w:val="both"/>
      </w:pPr>
      <w:r>
        <w:rPr>
          <w:rFonts w:ascii="FangSong_GB2312" w:hAnsi="FangSong_GB2312" w:eastAsia="FangSong_GB2312" w:cs="FangSong_GB2312"/>
          <w:b w:val="0"/>
          <w:sz w:val="32"/>
        </w:rPr>
        <w:t>印度储备银行（RBI）因Vinayaka Capsec Private Limited未遵守关于“收购股权或控制权”的RBI指令，对其处以10万卢比的罚款。RBI依据《印度储备银行法案》第58G(1)(b)条及第58B(5)(aa)条的规定实施处罚。调查显示，该公司未获得RBI事先书面许可，导致其股权变更超过了公司已发行股本的26%。RBI强调，此次处罚仅针对监管合规方面的不足，不涉及对该公司与客户签订的任何交易或协议的有效性评估。RBI保留对该公司采取进一步行动的权利。此次事件突显了印度金融监管机构对企业股权变更监管的严格执行，但与央行数字货币（CBDC）领域无关。</w:t>
      </w:r>
    </w:p>
    <w:p>
      <w:pPr>
        <w:spacing w:after="240"/>
        <w:ind w:left="0" w:firstLine="0"/>
        <w:jc w:val="left"/>
      </w:pPr>
      <w:r>
        <w:rPr>
          <w:rFonts w:ascii="FangSong_GB2312" w:hAnsi="FangSong_GB2312" w:eastAsia="FangSong_GB2312" w:cs="FangSong_GB2312"/>
          <w:b w:val="0"/>
          <w:sz w:val="32"/>
        </w:rPr>
        <w:t>（印度：https://www.rbi.org.in/scripts/BS_PressReleaseDisplay.aspx?prid=62162）</w:t>
      </w:r>
    </w:p>
    <w:p>
      <w:pPr>
        <w:spacing w:before="240" w:after="120"/>
      </w:pPr>
      <w:r>
        <w:rPr>
          <w:rFonts w:ascii="SimHei" w:hAnsi="SimHei" w:eastAsia="SimHei" w:cs="SimHei"/>
          <w:b/>
          <w:sz w:val="32"/>
        </w:rPr>
        <w:t>二十二、Underwriting Auction for sale of Government Securities for &amp;#8377;29,000 crore on February 06, 2026</w:t>
      </w:r>
    </w:p>
    <w:p>
      <w:pPr>
        <w:spacing w:line="360" w:lineRule="auto"/>
        <w:ind w:firstLine="640"/>
        <w:jc w:val="both"/>
      </w:pPr>
      <w:r>
        <w:rPr>
          <w:rFonts w:ascii="FangSong_GB2312" w:hAnsi="FangSong_GB2312" w:eastAsia="FangSong_GB2312" w:cs="FangSong_GB2312"/>
          <w:b w:val="0"/>
          <w:sz w:val="32"/>
        </w:rPr>
        <w:t>Government of India has announced the sale (re-issue) of Government Securities, as detailed below, through auction to be held on February 06, 2026 (Friday) . As per the extant scheme of underwriting commitment notified on November 14, 2007, the amounts of Minimum Underwriting Commitment (MUC) and the minimum bidding commitment under Additional Competitive Underwriting (ACU) auction, applicable to each Primary Dealer (PD), are as under: (₹ crore) Securities Notified Amount MUC amount per PD Minimum bidding commitment per PD under ACU auction 6.68% GS 2040 16,000 381 381 6.90% GS 2065 13,000 310 310 The underwriting auction will be conducted through multiple price-based method on February 06, 2026 (Friday) . PDs may submit their bids for ACU auction electronically through the Reserve Bank of India Core Banking Solution (e-Kuber system) between 10:30 A.M. and 11:00 A.M. on the day of underwriting auction. The underwriting commission will be credited to the current account of the respective PDs with RBI on the day of issue of securities. Ajit Prasad Deputy General Manager (Communications) Press Release: 2025-2026/2045</w:t>
      </w:r>
    </w:p>
    <w:p>
      <w:pPr>
        <w:spacing w:after="240"/>
        <w:ind w:left="0" w:firstLine="0"/>
        <w:jc w:val="left"/>
      </w:pPr>
      <w:r>
        <w:rPr>
          <w:rFonts w:ascii="FangSong_GB2312" w:hAnsi="FangSong_GB2312" w:eastAsia="FangSong_GB2312" w:cs="FangSong_GB2312"/>
          <w:b w:val="0"/>
          <w:sz w:val="32"/>
        </w:rPr>
        <w:t>（印度：https://www.rbi.org.in/scripts/BS_PressReleaseDisplay.aspx?prid=62161）</w:t>
      </w:r>
    </w:p>
    <w:p>
      <w:pPr>
        <w:spacing w:before="240" w:after="120"/>
      </w:pPr>
      <w:r>
        <w:rPr>
          <w:rFonts w:ascii="SimHei" w:hAnsi="SimHei" w:eastAsia="SimHei" w:cs="SimHei"/>
          <w:b/>
          <w:sz w:val="32"/>
        </w:rPr>
        <w:t>二十三、银行市场操作</w:t>
      </w:r>
    </w:p>
    <w:p>
      <w:pPr>
        <w:spacing w:line="360" w:lineRule="auto"/>
        <w:ind w:firstLine="640"/>
        <w:jc w:val="both"/>
      </w:pPr>
      <w:r>
        <w:rPr>
          <w:rFonts w:ascii="FangSong_GB2312" w:hAnsi="FangSong_GB2312" w:eastAsia="FangSong_GB2312" w:cs="FangSong_GB2312"/>
          <w:b w:val="0"/>
          <w:sz w:val="32"/>
        </w:rPr>
        <w:t>该报道聚焦传统金融工具，未涉及央行数字货币政策，非相关领域</w:t>
      </w:r>
    </w:p>
    <w:p>
      <w:pPr>
        <w:spacing w:after="240"/>
        <w:ind w:left="0" w:firstLine="0"/>
        <w:jc w:val="left"/>
      </w:pPr>
      <w:r>
        <w:rPr>
          <w:rFonts w:ascii="FangSong_GB2312" w:hAnsi="FangSong_GB2312" w:eastAsia="FangSong_GB2312" w:cs="FangSong_GB2312"/>
          <w:b w:val="0"/>
          <w:sz w:val="32"/>
        </w:rPr>
        <w:t>（印度：https://www.rbi.org.in/scripts/BS_PressReleaseDisplay.aspx?prid=62160）</w:t>
      </w:r>
    </w:p>
    <w:p>
      <w:pPr>
        <w:spacing w:before="240" w:after="120"/>
      </w:pPr>
      <w:r>
        <w:rPr>
          <w:rFonts w:ascii="SimHei" w:hAnsi="SimHei" w:eastAsia="SimHei" w:cs="SimHei"/>
          <w:b/>
          <w:sz w:val="32"/>
        </w:rPr>
        <w:t>二十四、澳大利亚储备银行行长向议会经济委员会提交报告</w:t>
      </w:r>
    </w:p>
    <w:p>
      <w:pPr>
        <w:spacing w:line="360" w:lineRule="auto"/>
        <w:ind w:firstLine="640"/>
        <w:jc w:val="both"/>
      </w:pPr>
      <w:r>
        <w:rPr>
          <w:rFonts w:ascii="FangSong_GB2312" w:hAnsi="FangSong_GB2312" w:eastAsia="FangSong_GB2312" w:cs="FangSong_GB2312"/>
          <w:b w:val="0"/>
          <w:sz w:val="32"/>
        </w:rPr>
        <w:t>澳大利亚储备银行行长米歇尔·布洛克在2026年2月6日向众议院经济委员会提交报告，概述央行运营情况及货币政策目标，强调维持低通胀、金融系统稳定及支付系统可靠性，但未涉及数字货币相关内容。</w:t>
      </w:r>
    </w:p>
    <w:p>
      <w:pPr>
        <w:spacing w:after="240"/>
        <w:ind w:left="0" w:firstLine="0"/>
        <w:jc w:val="left"/>
      </w:pPr>
      <w:r>
        <w:rPr>
          <w:rFonts w:ascii="FangSong_GB2312" w:hAnsi="FangSong_GB2312" w:eastAsia="FangSong_GB2312" w:cs="FangSong_GB2312"/>
          <w:b w:val="0"/>
          <w:sz w:val="32"/>
        </w:rPr>
        <w:t>（澳大利亚：https://www.rba.gov.au/speeches/2026/sp-gov-2026-02-06.html）</w:t>
      </w:r>
    </w:p>
    <w:p>
      <w:pPr>
        <w:spacing w:before="240" w:after="120"/>
      </w:pPr>
      <w:r>
        <w:rPr>
          <w:rFonts w:ascii="SimHei" w:hAnsi="SimHei" w:eastAsia="SimHei" w:cs="SimHei"/>
          <w:b/>
          <w:sz w:val="32"/>
        </w:rPr>
        <w:t>二十五、The credit gap as a real-time early warning indicator of financial imbalances: a South African perspective</w:t>
      </w:r>
    </w:p>
    <w:p>
      <w:pPr>
        <w:spacing w:line="360" w:lineRule="auto"/>
        <w:ind w:firstLine="640"/>
        <w:jc w:val="both"/>
      </w:pPr>
      <w:r>
        <w:rPr>
          <w:rFonts w:ascii="FangSong_GB2312" w:hAnsi="FangSong_GB2312" w:eastAsia="FangSong_GB2312" w:cs="FangSong_GB2312"/>
          <w:b w:val="0"/>
          <w:sz w:val="32"/>
        </w:rPr>
        <w:t>Excessive credit growth can create systemic risks in the financial sector, which can amplify business cycle fluctuations.</w:t>
      </w:r>
    </w:p>
    <w:p>
      <w:pPr>
        <w:spacing w:after="240"/>
        <w:ind w:left="0" w:firstLine="0"/>
        <w:jc w:val="left"/>
      </w:pPr>
      <w:r>
        <w:rPr>
          <w:rFonts w:ascii="FangSong_GB2312" w:hAnsi="FangSong_GB2312" w:eastAsia="FangSong_GB2312" w:cs="FangSong_GB2312"/>
          <w:b w:val="0"/>
          <w:sz w:val="32"/>
        </w:rPr>
        <w:t>（南非：https://www.resbank.co.za/en/home/publications/publication-detail-pages/working-papers/2026/credit-gap）</w:t>
      </w:r>
    </w:p>
    <w:p>
      <w:pPr>
        <w:spacing w:before="240" w:after="120"/>
      </w:pPr>
      <w:r>
        <w:rPr>
          <w:rFonts w:ascii="SimHei" w:hAnsi="SimHei" w:eastAsia="SimHei" w:cs="SimHei"/>
          <w:b/>
          <w:sz w:val="32"/>
        </w:rPr>
        <w:t>二十六、希腊央行行长就希腊及欧洲银行业前景展望2026年</w:t>
      </w:r>
    </w:p>
    <w:p>
      <w:pPr>
        <w:spacing w:line="360" w:lineRule="auto"/>
        <w:ind w:firstLine="640"/>
        <w:jc w:val="both"/>
      </w:pPr>
      <w:r>
        <w:rPr>
          <w:rFonts w:ascii="FangSong_GB2312" w:hAnsi="FangSong_GB2312" w:eastAsia="FangSong_GB2312" w:cs="FangSong_GB2312"/>
          <w:b w:val="0"/>
          <w:sz w:val="32"/>
        </w:rPr>
        <w:t>希腊银行行长 Yannis Stournaras 在《经济学人》举办的“世界前沿 2026”活动上发表讲话，评估了希腊和欧洲银行业在未来一年的经济和地缘政治韧性。讲话回顾了过去十年希腊银行业经过的深刻变革，包括资产负债表、盈利能力、流动性和资本状况的显著改善，这与希腊的宏观经济复苏、积极的财政发展以及金融条件的正常化相一致。他强调了这些发展是重要的经验教训。讲话主要关注银行业发展状况，未提及央行数字货币相关议题。</w:t>
      </w:r>
    </w:p>
    <w:p>
      <w:pPr>
        <w:spacing w:after="240"/>
        <w:ind w:left="0" w:firstLine="0"/>
        <w:jc w:val="left"/>
      </w:pPr>
      <w:r>
        <w:rPr>
          <w:rFonts w:ascii="FangSong_GB2312" w:hAnsi="FangSong_GB2312" w:eastAsia="FangSong_GB2312" w:cs="FangSong_GB2312"/>
          <w:b w:val="0"/>
          <w:sz w:val="32"/>
        </w:rPr>
        <w:t>（bis：https://www.bis.org/review/r260204d.htm）</w:t>
      </w:r>
    </w:p>
    <w:p>
      <w:pPr>
        <w:spacing w:before="240" w:after="120"/>
      </w:pPr>
      <w:r>
        <w:rPr>
          <w:rFonts w:ascii="SimHei" w:hAnsi="SimHei" w:eastAsia="SimHei" w:cs="SimHei"/>
          <w:b/>
          <w:sz w:val="32"/>
        </w:rPr>
        <w:t>二十七、欧洲央行高管就欧洲数字自主权及潜在风险发表讲话</w:t>
      </w:r>
    </w:p>
    <w:p>
      <w:pPr>
        <w:spacing w:line="360" w:lineRule="auto"/>
        <w:ind w:firstLine="640"/>
        <w:jc w:val="both"/>
      </w:pPr>
      <w:r>
        <w:rPr>
          <w:rFonts w:ascii="FangSong_GB2312" w:hAnsi="FangSong_GB2312" w:eastAsia="FangSong_GB2312" w:cs="FangSong_GB2312"/>
          <w:b w:val="0"/>
          <w:sz w:val="32"/>
        </w:rPr>
        <w:t>荷兰央行执行董事会成员兼监督委员会主席 Steven Maijoor 在布鲁塞尔第十届金融科技与监管大会上发表讲话，探讨了欧洲在数字领域的自主权问题。Maijoor 将欧洲数字自主权面临的挑战比作地质构造中的“断层线”，强调了潜在的、难以预测的风险。他同时将数字资产的安全性与“金库线”进行类比，暗示了对数字资产安全保障的重视。尽管讲话并未直接提及具体的央行数字货币项目（如数字欧元），但其对欧洲数字自主权和数字资产安全的关注，以及对潜在风险的强调，表明了欧洲央行对数字货币领域，特别是CBDC相关议题的高度关注。此次讲话可能预示着欧洲央行将进一步加强对数字金融领域的监管和风险评估，并可能推动数字欧元等CBDC项目的进展。</w:t>
      </w:r>
    </w:p>
    <w:p>
      <w:pPr>
        <w:spacing w:after="240"/>
        <w:ind w:left="0" w:firstLine="0"/>
        <w:jc w:val="left"/>
      </w:pPr>
      <w:r>
        <w:rPr>
          <w:rFonts w:ascii="FangSong_GB2312" w:hAnsi="FangSong_GB2312" w:eastAsia="FangSong_GB2312" w:cs="FangSong_GB2312"/>
          <w:b w:val="0"/>
          <w:sz w:val="32"/>
        </w:rPr>
        <w:t>（bis：https://www.bis.org/review/r260204c.htm）</w:t>
      </w:r>
    </w:p>
    <w:p>
      <w:pPr>
        <w:spacing w:before="240" w:after="120"/>
      </w:pPr>
      <w:r>
        <w:rPr>
          <w:rFonts w:ascii="SimHei" w:hAnsi="SimHei" w:eastAsia="SimHei" w:cs="SimHei"/>
          <w:b/>
          <w:sz w:val="32"/>
        </w:rPr>
        <w:t>二十八、Gent Sejko: Launch of the EBRD Transition Report 2025-26</w:t>
      </w:r>
    </w:p>
    <w:p>
      <w:pPr>
        <w:spacing w:line="360" w:lineRule="auto"/>
        <w:ind w:firstLine="640"/>
        <w:jc w:val="both"/>
      </w:pPr>
      <w:r>
        <w:rPr>
          <w:rFonts w:ascii="FangSong_GB2312" w:hAnsi="FangSong_GB2312" w:eastAsia="FangSong_GB2312" w:cs="FangSong_GB2312"/>
          <w:b w:val="0"/>
          <w:sz w:val="32"/>
        </w:rPr>
        <w:t>Opening remarks by Mr Gent Sejko, Governor of the Bank of Albania, at the launching of the EBRD Transition Report 2025-26, Tirana, 27 January 2026.</w:t>
      </w:r>
    </w:p>
    <w:p>
      <w:pPr>
        <w:spacing w:after="240"/>
        <w:ind w:left="0" w:firstLine="0"/>
        <w:jc w:val="left"/>
      </w:pPr>
      <w:r>
        <w:rPr>
          <w:rFonts w:ascii="FangSong_GB2312" w:hAnsi="FangSong_GB2312" w:eastAsia="FangSong_GB2312" w:cs="FangSong_GB2312"/>
          <w:b w:val="0"/>
          <w:sz w:val="32"/>
        </w:rPr>
        <w:t>（bis：https://www.bis.org/review/r260204e.htm）</w:t>
      </w:r>
    </w:p>
    <w:p>
      <w:pPr>
        <w:spacing w:before="240" w:after="120"/>
      </w:pPr>
      <w:r>
        <w:rPr>
          <w:rFonts w:ascii="SimHei" w:hAnsi="SimHei" w:eastAsia="SimHei" w:cs="SimHei"/>
          <w:b/>
          <w:sz w:val="32"/>
        </w:rPr>
        <w:t>二十九、Eli M Remolona: Speech - Rotary Club of Manila 16th Weekly Membership Meeting</w:t>
      </w:r>
    </w:p>
    <w:p>
      <w:pPr>
        <w:spacing w:line="360" w:lineRule="auto"/>
        <w:ind w:firstLine="640"/>
        <w:jc w:val="both"/>
      </w:pPr>
      <w:r>
        <w:rPr>
          <w:rFonts w:ascii="FangSong_GB2312" w:hAnsi="FangSong_GB2312" w:eastAsia="FangSong_GB2312" w:cs="FangSong_GB2312"/>
          <w:b w:val="0"/>
          <w:sz w:val="32"/>
        </w:rPr>
        <w:t>Speech by Mr Eli M Remolona, Jr, Governor of Bangko Sentral ng Pilipinas (BSP, the central bank of the Philippines), at the Rotary Club of Manila 16th Weekly Membership Meeting, Manila, 8 January 2026.</w:t>
      </w:r>
    </w:p>
    <w:p>
      <w:pPr>
        <w:spacing w:after="240"/>
        <w:ind w:left="0" w:firstLine="0"/>
        <w:jc w:val="left"/>
      </w:pPr>
      <w:r>
        <w:rPr>
          <w:rFonts w:ascii="FangSong_GB2312" w:hAnsi="FangSong_GB2312" w:eastAsia="FangSong_GB2312" w:cs="FangSong_GB2312"/>
          <w:b w:val="0"/>
          <w:sz w:val="32"/>
        </w:rPr>
        <w:t>（bis：https://www.bis.org/review/r260203p.htm）</w:t>
      </w:r>
    </w:p>
    <w:p>
      <w:pPr>
        <w:spacing w:before="240" w:after="120"/>
      </w:pPr>
      <w:r>
        <w:rPr>
          <w:rFonts w:ascii="SimHei" w:hAnsi="SimHei" w:eastAsia="SimHei" w:cs="SimHei"/>
          <w:b/>
          <w:sz w:val="32"/>
        </w:rPr>
        <w:t>三十、数字欧元：欧洲的机遇</w:t>
      </w:r>
    </w:p>
    <w:p>
      <w:pPr>
        <w:spacing w:line="360" w:lineRule="auto"/>
        <w:ind w:firstLine="640"/>
        <w:jc w:val="both"/>
      </w:pPr>
      <w:r>
        <w:rPr>
          <w:rFonts w:ascii="FangSong_GB2312" w:hAnsi="FangSong_GB2312" w:eastAsia="FangSong_GB2312" w:cs="FangSong_GB2312"/>
          <w:b w:val="0"/>
          <w:sz w:val="32"/>
        </w:rPr>
        <w:t>德国联邦银行主席克里斯蒂安·谢温在2026年1月27日于柏林举办的“联邦银行焦点”活动中发表了关于数字欧元的讲话。本次活动旨在促进与领域专家进行对话。谢温强调了数字欧元作为欧洲金融体系发展的重要机遇。他表示，通过引入数字欧元，联邦银行希望推动金融创新，并为欧洲经济的数字化转型提供支持。本次活动邀请了德国消费者组织联合会的拉莫娜·波普和德意志银行的首席执行官克里斯蒂安·谢温参与讨论。联邦银行致力于探索数字货币的潜力，并将其纳入未来的货币政策框架中。此次讲话明确提及了“数字欧元”，表明其与央行数字货币领域高度相关。</w:t>
      </w:r>
    </w:p>
    <w:p>
      <w:pPr>
        <w:spacing w:after="240"/>
        <w:ind w:left="0" w:firstLine="0"/>
        <w:jc w:val="left"/>
      </w:pPr>
      <w:r>
        <w:rPr>
          <w:rFonts w:ascii="FangSong_GB2312" w:hAnsi="FangSong_GB2312" w:eastAsia="FangSong_GB2312" w:cs="FangSong_GB2312"/>
          <w:b w:val="0"/>
          <w:sz w:val="32"/>
        </w:rPr>
        <w:t>（bis：https://www.bis.org/review/r260204b.htm）</w:t>
      </w:r>
    </w:p>
    <w:p>
      <w:pPr>
        <w:spacing w:before="240" w:after="120"/>
      </w:pPr>
      <w:r>
        <w:rPr>
          <w:rFonts w:ascii="SimHei" w:hAnsi="SimHei" w:eastAsia="SimHei" w:cs="SimHei"/>
          <w:b/>
          <w:sz w:val="32"/>
        </w:rPr>
        <w:t>三十一、美联储副主席鲍曼就经济前景和货币政策发表讲话</w:t>
      </w:r>
    </w:p>
    <w:p>
      <w:pPr>
        <w:spacing w:line="360" w:lineRule="auto"/>
        <w:ind w:firstLine="640"/>
        <w:jc w:val="both"/>
      </w:pPr>
      <w:r>
        <w:rPr>
          <w:rFonts w:ascii="FangSong_GB2312" w:hAnsi="FangSong_GB2312" w:eastAsia="FangSong_GB2312" w:cs="FangSong_GB2312"/>
          <w:b w:val="0"/>
          <w:sz w:val="32"/>
        </w:rPr>
        <w:t>美国联邦储备系统副主席Michelle W. Bowman在2026年1月30日于SMU Cox举办的银行董事会会议上发表讲话，总结了FOMC一月会议的决策，并阐述了对经济和货币政策的看法。讲话中提到，美国经济持续增长，通胀正在接近目标。鲍曼副主席将重点关注经济增长和通胀，并分享了对未来货币政策的展望。讲话未提及央行数字货币相关议题。</w:t>
      </w:r>
    </w:p>
    <w:p>
      <w:pPr>
        <w:spacing w:after="240"/>
        <w:ind w:left="0" w:firstLine="0"/>
        <w:jc w:val="left"/>
      </w:pPr>
      <w:r>
        <w:rPr>
          <w:rFonts w:ascii="FangSong_GB2312" w:hAnsi="FangSong_GB2312" w:eastAsia="FangSong_GB2312" w:cs="FangSong_GB2312"/>
          <w:b w:val="0"/>
          <w:sz w:val="32"/>
        </w:rPr>
        <w:t>（bis：https://www.bis.org/review/r260204a.htm）</w:t>
      </w:r>
    </w:p>
    <w:p>
      <w:pPr>
        <w:spacing w:before="240" w:after="120"/>
      </w:pPr>
      <w:r>
        <w:rPr>
          <w:rFonts w:ascii="SimHei" w:hAnsi="SimHei" w:eastAsia="SimHei" w:cs="SimHei"/>
          <w:b/>
          <w:sz w:val="32"/>
        </w:rPr>
        <w:t>三十二、智库警告：加州财富税实际税率远超5%，或引发创新生态与人才资本外流</w:t>
      </w:r>
    </w:p>
    <w:p>
      <w:pPr>
        <w:spacing w:line="360" w:lineRule="auto"/>
        <w:ind w:firstLine="640"/>
        <w:jc w:val="both"/>
      </w:pPr>
      <w:r>
        <w:rPr>
          <w:rFonts w:ascii="FangSong_GB2312" w:hAnsi="FangSong_GB2312" w:eastAsia="FangSong_GB2312" w:cs="FangSong_GB2312"/>
          <w:b w:val="0"/>
          <w:sz w:val="32"/>
        </w:rPr>
        <w:t>美国无党派非营利智库税收基金会发布报告指出，加州拟议的财富税实际税负可能远超其宣称的5%税率。该税种拟对个人净值征收5%的税款，且具有追溯效力，这意味着计划离开加州的富裕人士仍可能被纳入征税范围。税收基金会认为，该税制草案存在严重设计缺陷，具体表现在六个方面。报告警告，该税种若实施，将加速企业家和投资者从加州外流。作为全球最具活力的创新生态系统，加州湾区已出现显著人才外流趋势，更多投资者可能跟随前往德州、佛罗里达州等税收更低、商业环境更友好的州。税收基金会指出，国际经验显示财富税往往以失败告终，不仅难以增加税收，反而会导致财富、投资和创新活动撤离。尽管加州政府面临财政赤字和效率问题，但此类政策可能适得其反。若该税案进入公投并获通过，最终可能使德州、佛罗里达州等州受益于加州流失的资本与人才。</w:t>
      </w:r>
    </w:p>
    <w:p>
      <w:pPr>
        <w:spacing w:after="240"/>
        <w:ind w:left="0" w:firstLine="0"/>
        <w:jc w:val="left"/>
      </w:pPr>
      <w:r>
        <w:rPr>
          <w:rFonts w:ascii="FangSong_GB2312" w:hAnsi="FangSong_GB2312" w:eastAsia="FangSong_GB2312" w:cs="FangSong_GB2312"/>
          <w:b w:val="0"/>
          <w:sz w:val="32"/>
        </w:rPr>
        <w:t>（未央：https://www.weiyangx.com/456917.html）</w:t>
      </w:r>
    </w:p>
    <w:p>
      <w:pPr>
        <w:spacing w:before="240" w:after="120"/>
      </w:pPr>
      <w:r>
        <w:rPr>
          <w:rFonts w:ascii="SimHei" w:hAnsi="SimHei" w:eastAsia="SimHei" w:cs="SimHei"/>
          <w:b/>
          <w:sz w:val="32"/>
        </w:rPr>
        <w:t>三十三、英国金融行为监管局公布首批“增长助推计划”入选机构名单</w:t>
      </w:r>
    </w:p>
    <w:p>
      <w:pPr>
        <w:spacing w:line="360" w:lineRule="auto"/>
        <w:ind w:firstLine="640"/>
        <w:jc w:val="both"/>
      </w:pPr>
      <w:r>
        <w:rPr>
          <w:rFonts w:ascii="FangSong_GB2312" w:hAnsi="FangSong_GB2312" w:eastAsia="FangSong_GB2312" w:cs="FangSong_GB2312"/>
          <w:b w:val="0"/>
          <w:sz w:val="32"/>
        </w:rPr>
        <w:t>英国金融行为监管局近日公布首批入选“增长助推计划”的六家银行与建筑协会名单，该计划由英国财政部、金融行为监管局及审慎监管局联合主导，旨在通过提供专项监管支持，协助高增长企业在开发新产品、吸引客户及拓展新市场过程中应对监管挑战。监管机构将采取集体座谈与个别沟通相结合的方式，深入了解企业诉求以优化行业监管框架，促进创新与扩张。计划预计年内开放第二批机构申请，并持续为增长迅速的保险公司提供常态化支持，未来还将扩展至单轨监管行业及其他高增长领域。</w:t>
      </w:r>
    </w:p>
    <w:p>
      <w:pPr>
        <w:spacing w:after="240"/>
        <w:ind w:left="0" w:firstLine="0"/>
        <w:jc w:val="left"/>
      </w:pPr>
      <w:r>
        <w:rPr>
          <w:rFonts w:ascii="FangSong_GB2312" w:hAnsi="FangSong_GB2312" w:eastAsia="FangSong_GB2312" w:cs="FangSong_GB2312"/>
          <w:b w:val="0"/>
          <w:sz w:val="32"/>
        </w:rPr>
        <w:t>（未央：https://www.weiyangx.com/457803.html）</w:t>
      </w:r>
    </w:p>
    <w:p>
      <w:pPr>
        <w:spacing w:before="240" w:after="120"/>
      </w:pPr>
      <w:r>
        <w:rPr>
          <w:rFonts w:ascii="SimHei" w:hAnsi="SimHei" w:eastAsia="SimHei" w:cs="SimHei"/>
          <w:b/>
          <w:sz w:val="32"/>
        </w:rPr>
        <w:t>三十四、泰国ESG基金投资范围拟扩容，允许投资高治理评级JUMP+企业</w:t>
      </w:r>
    </w:p>
    <w:p>
      <w:pPr>
        <w:spacing w:line="360" w:lineRule="auto"/>
        <w:ind w:firstLine="640"/>
        <w:jc w:val="both"/>
      </w:pPr>
      <w:r>
        <w:rPr>
          <w:rFonts w:ascii="FangSong_GB2312" w:hAnsi="FangSong_GB2312" w:eastAsia="FangSong_GB2312" w:cs="FangSong_GB2312"/>
          <w:b w:val="0"/>
          <w:sz w:val="32"/>
        </w:rPr>
        <w:t>据报道，泰国证券交易委员会（SEC）正着手修改监管规定，拟允许泰国国内ESG基金投资于治理评估优异、参与泰国证券交易所"JUMP+计划"的上市公司。根据草案，ESG基金可投资于企业治理报告评分达90分及以上的JUMP+计划参与公司。该修正案已于2025年12月获资本市场监督委员会原则性批准，预计...</w:t>
      </w:r>
    </w:p>
    <w:p>
      <w:pPr>
        <w:spacing w:after="240"/>
        <w:ind w:left="0" w:firstLine="0"/>
        <w:jc w:val="left"/>
      </w:pPr>
      <w:r>
        <w:rPr>
          <w:rFonts w:ascii="FangSong_GB2312" w:hAnsi="FangSong_GB2312" w:eastAsia="FangSong_GB2312" w:cs="FangSong_GB2312"/>
          <w:b w:val="0"/>
          <w:sz w:val="32"/>
        </w:rPr>
        <w:t>（未央：https://www.weiyangx.com/457647.html）</w:t>
      </w:r>
    </w:p>
    <w:p>
      <w:pPr>
        <w:spacing w:before="240" w:after="120"/>
      </w:pPr>
      <w:r>
        <w:rPr>
          <w:rFonts w:ascii="SimHei" w:hAnsi="SimHei" w:eastAsia="SimHei" w:cs="SimHei"/>
          <w:b/>
          <w:sz w:val="32"/>
        </w:rPr>
        <w:t>三十五、欧盟寻求改革世贸组织“最惠国”贸易规则</w:t>
      </w:r>
    </w:p>
    <w:p>
      <w:pPr>
        <w:spacing w:line="360" w:lineRule="auto"/>
        <w:ind w:firstLine="640"/>
        <w:jc w:val="both"/>
      </w:pPr>
      <w:r>
        <w:rPr>
          <w:rFonts w:ascii="FangSong_GB2312" w:hAnsi="FangSong_GB2312" w:eastAsia="FangSong_GB2312" w:cs="FangSong_GB2312"/>
          <w:b w:val="0"/>
          <w:sz w:val="32"/>
        </w:rPr>
        <w:t>欧盟提议改革世贸组织“最惠国”原则，允许成员国提高关税，旨在应对多边贸易秩序的挑战。这一举措标志着欧盟在贸易政策上的重大转变，长期以来一直强调“最惠国”原则。欧盟认为，在市场开放程度、公平竞争和透明度方面，成员国在全球贸易中的影响力日益增强，需要重新审视最惠国地位与互惠之间的联系。该提议旨在增强成员国应对经济威胁的能力，并促进更灵活的关税政策。</w:t>
      </w:r>
    </w:p>
    <w:p>
      <w:pPr>
        <w:spacing w:after="240"/>
        <w:ind w:left="0" w:firstLine="0"/>
        <w:jc w:val="left"/>
      </w:pPr>
      <w:r>
        <w:rPr>
          <w:rFonts w:ascii="FangSong_GB2312" w:hAnsi="FangSong_GB2312" w:eastAsia="FangSong_GB2312" w:cs="FangSong_GB2312"/>
          <w:b w:val="0"/>
          <w:sz w:val="32"/>
        </w:rPr>
        <w:t>（未央：https://www.weiyangx.com/457645.html）</w:t>
      </w:r>
    </w:p>
    <w:p>
      <w:pPr>
        <w:spacing w:before="240" w:after="120"/>
      </w:pPr>
      <w:r>
        <w:rPr>
          <w:rFonts w:ascii="SimHei" w:hAnsi="SimHei" w:eastAsia="SimHei" w:cs="SimHei"/>
          <w:b/>
          <w:sz w:val="32"/>
        </w:rPr>
        <w:t>三十六、英国AI保险科技公司Artificial Labs完成4500万美元B轮融资</w:t>
      </w:r>
    </w:p>
    <w:p>
      <w:pPr>
        <w:spacing w:line="360" w:lineRule="auto"/>
        <w:ind w:firstLine="640"/>
        <w:jc w:val="both"/>
      </w:pPr>
      <w:r>
        <w:rPr>
          <w:rFonts w:ascii="FangSong_GB2312" w:hAnsi="FangSong_GB2312" w:eastAsia="FangSong_GB2312" w:cs="FangSong_GB2312"/>
          <w:b w:val="0"/>
          <w:sz w:val="32"/>
        </w:rPr>
        <w:t>英国保险科技企业Artificial Labs宣布完成4500万美元B轮融资，由CommerzVentures领投。该公司作为数字经纪与核保技术提供商，计划将融资用于团队扩张、产品研发，并巩固伦敦市场地位，同时拟于2026年拓展美国业务。其核心业务系通过数字交易平台为保险经纪商与承保机构提供技术服务，目标一年内实现规模翻倍。该融资事件反映保险科技领域资本关注，未涉及央行数字货币（CBDC）相关政策、技术或监管框架。</w:t>
      </w:r>
    </w:p>
    <w:p>
      <w:pPr>
        <w:spacing w:after="240"/>
        <w:ind w:left="0" w:firstLine="0"/>
        <w:jc w:val="left"/>
      </w:pPr>
      <w:r>
        <w:rPr>
          <w:rFonts w:ascii="FangSong_GB2312" w:hAnsi="FangSong_GB2312" w:eastAsia="FangSong_GB2312" w:cs="FangSong_GB2312"/>
          <w:b w:val="0"/>
          <w:sz w:val="32"/>
        </w:rPr>
        <w:t>（未央：https://www.weiyangx.com/457643.html）</w:t>
      </w:r>
    </w:p>
    <w:p>
      <w:pPr>
        <w:spacing w:before="240" w:after="120"/>
      </w:pPr>
      <w:r>
        <w:rPr>
          <w:rFonts w:ascii="SimHei" w:hAnsi="SimHei" w:eastAsia="SimHei" w:cs="SimHei"/>
          <w:b/>
          <w:sz w:val="32"/>
        </w:rPr>
        <w:t>三十七、国际清算银行亚太区首席代表张涛：人工智能与数字金融如何重塑金融稳定？</w:t>
      </w:r>
    </w:p>
    <w:p>
      <w:pPr>
        <w:spacing w:line="360" w:lineRule="auto"/>
        <w:ind w:firstLine="640"/>
        <w:jc w:val="both"/>
      </w:pPr>
      <w:r>
        <w:rPr>
          <w:rFonts w:ascii="FangSong_GB2312" w:hAnsi="FangSong_GB2312" w:eastAsia="FangSong_GB2312" w:cs="FangSong_GB2312"/>
          <w:b w:val="0"/>
          <w:sz w:val="32"/>
        </w:rPr>
        <w:t>在国际金融周暨亚洲金融论坛上，国际清算银行（BIS）亚太区首席代表张涛发表演讲，聚焦人工智能与数字金融发展对金融稳定的深远影响。 张涛指出，人工智能与数字金融正深刻改变金融服务提供、市场运行与风险管理的方式。人工智能在金融机构中广泛应用于数据处理、信贷审核、欺诈侦测等领...</w:t>
      </w:r>
    </w:p>
    <w:p>
      <w:pPr>
        <w:spacing w:after="240"/>
        <w:ind w:left="0" w:firstLine="0"/>
        <w:jc w:val="left"/>
      </w:pPr>
      <w:r>
        <w:rPr>
          <w:rFonts w:ascii="FangSong_GB2312" w:hAnsi="FangSong_GB2312" w:eastAsia="FangSong_GB2312" w:cs="FangSong_GB2312"/>
          <w:b w:val="0"/>
          <w:sz w:val="32"/>
        </w:rPr>
        <w:t>（未央：https://www.weiyangx.com/457245.html）</w:t>
      </w:r>
    </w:p>
    <w:p>
      <w:pPr>
        <w:spacing w:before="240" w:after="120"/>
      </w:pPr>
      <w:r>
        <w:rPr>
          <w:rFonts w:ascii="SimHei" w:hAnsi="SimHei" w:eastAsia="SimHei" w:cs="SimHei"/>
          <w:b/>
          <w:sz w:val="32"/>
        </w:rPr>
        <w:t>三十八、巴西领衔拉美数据产业发展，位居全球数据中心市场第12位</w:t>
      </w:r>
    </w:p>
    <w:p>
      <w:pPr>
        <w:spacing w:line="360" w:lineRule="auto"/>
        <w:ind w:firstLine="640"/>
        <w:jc w:val="both"/>
      </w:pPr>
      <w:r>
        <w:rPr>
          <w:rFonts w:ascii="FangSong_GB2312" w:hAnsi="FangSong_GB2312" w:eastAsia="FangSong_GB2312" w:cs="FangSong_GB2312"/>
          <w:b w:val="0"/>
          <w:sz w:val="32"/>
        </w:rPr>
        <w:t>巴西通信部1月13日发布公告，根据国际评级机构穆迪（Moody’s）报告显示，人工智能、云计算以及互联网服务的快速扩张，将推动全球数据中心基础设施在未来五年吸引约3万亿美元的资本投入。在这一背景下，巴西正逐步成为全球数据中心投资的重要目的地之一。 目前，巴西在全球数据中心市场中...</w:t>
      </w:r>
    </w:p>
    <w:p>
      <w:pPr>
        <w:spacing w:after="240"/>
        <w:ind w:left="0" w:firstLine="0"/>
        <w:jc w:val="left"/>
      </w:pPr>
      <w:r>
        <w:rPr>
          <w:rFonts w:ascii="FangSong_GB2312" w:hAnsi="FangSong_GB2312" w:eastAsia="FangSong_GB2312" w:cs="FangSong_GB2312"/>
          <w:b w:val="0"/>
          <w:sz w:val="32"/>
        </w:rPr>
        <w:t>（未央：https://www.weiyangx.com/457550.html）</w:t>
      </w:r>
    </w:p>
    <w:p>
      <w:pPr>
        <w:spacing w:before="240" w:after="120"/>
      </w:pPr>
      <w:r>
        <w:rPr>
          <w:rFonts w:ascii="SimHei" w:hAnsi="SimHei" w:eastAsia="SimHei" w:cs="SimHei"/>
          <w:b/>
          <w:sz w:val="32"/>
        </w:rPr>
        <w:t>三十九、沙特拓展自愿碳市场合作伙伴关系</w:t>
      </w:r>
    </w:p>
    <w:p>
      <w:pPr>
        <w:spacing w:line="360" w:lineRule="auto"/>
        <w:ind w:firstLine="640"/>
        <w:jc w:val="both"/>
      </w:pPr>
      <w:r>
        <w:rPr>
          <w:rFonts w:ascii="FangSong_GB2312" w:hAnsi="FangSong_GB2312" w:eastAsia="FangSong_GB2312" w:cs="FangSong_GB2312"/>
          <w:b w:val="0"/>
          <w:sz w:val="32"/>
        </w:rPr>
        <w:t>沙特公共投资基金（PIF）与沙特证券交易所（Tadawul Group）合资成立的区域性自愿碳市场公司（VCM）与全球碳理事会（GCC）建立战略合作伙伴关系，旨在通过可信赖的标准和机构级交易基础设施拓展自愿碳市场。合作协议允许GCC认证的碳信用额在VCM沙特交易平台上交易，首月交易量已超60万吨。此举标志着沙特在国际碳市场领域的积极布局，符合其减排与绿色金融战略。</w:t>
      </w:r>
    </w:p>
    <w:p>
      <w:pPr>
        <w:spacing w:after="240"/>
        <w:ind w:left="0" w:firstLine="0"/>
        <w:jc w:val="left"/>
      </w:pPr>
      <w:r>
        <w:rPr>
          <w:rFonts w:ascii="FangSong_GB2312" w:hAnsi="FangSong_GB2312" w:eastAsia="FangSong_GB2312" w:cs="FangSong_GB2312"/>
          <w:b w:val="0"/>
          <w:sz w:val="32"/>
        </w:rPr>
        <w:t>（未央：https://www.weiyangx.com/457552.html）</w:t>
      </w:r>
    </w:p>
    <w:p>
      <w:pPr>
        <w:spacing w:before="240" w:after="120"/>
      </w:pPr>
      <w:r>
        <w:rPr>
          <w:rFonts w:ascii="SimHei" w:hAnsi="SimHei" w:eastAsia="SimHei" w:cs="SimHei"/>
          <w:b/>
          <w:sz w:val="32"/>
        </w:rPr>
        <w:t>四十、特朗普政策支持科技领域</w:t>
      </w:r>
    </w:p>
    <w:p>
      <w:pPr>
        <w:spacing w:line="360" w:lineRule="auto"/>
        <w:ind w:firstLine="640"/>
        <w:jc w:val="both"/>
      </w:pPr>
      <w:r>
        <w:rPr>
          <w:rFonts w:ascii="FangSong_GB2312" w:hAnsi="FangSong_GB2312" w:eastAsia="FangSong_GB2312" w:cs="FangSong_GB2312"/>
          <w:b w:val="0"/>
          <w:sz w:val="32"/>
        </w:rPr>
        <w:t>分析显示该报道聚焦于科技资助与政策倡导，与央行数字货币无关，重点涉及加密货币、AI及监管议题。</w:t>
      </w:r>
    </w:p>
    <w:p>
      <w:pPr>
        <w:spacing w:after="240"/>
        <w:ind w:left="0" w:firstLine="0"/>
        <w:jc w:val="left"/>
      </w:pPr>
      <w:r>
        <w:rPr>
          <w:rFonts w:ascii="FangSong_GB2312" w:hAnsi="FangSong_GB2312" w:eastAsia="FangSong_GB2312" w:cs="FangSong_GB2312"/>
          <w:b w:val="0"/>
          <w:sz w:val="32"/>
        </w:rPr>
        <w:t>（未央：https://www.weiyangx.com/457560.html）</w:t>
      </w:r>
    </w:p>
    <w:p>
      <w:pPr>
        <w:spacing w:before="240" w:after="120"/>
      </w:pPr>
      <w:r>
        <w:rPr>
          <w:rFonts w:ascii="SimHei" w:hAnsi="SimHei" w:eastAsia="SimHei" w:cs="SimHei"/>
          <w:b/>
          <w:sz w:val="32"/>
        </w:rPr>
        <w:t>四十一、英国负电价时长增加：电池储能业迎来发展机遇</w:t>
      </w:r>
    </w:p>
    <w:p>
      <w:pPr>
        <w:spacing w:line="360" w:lineRule="auto"/>
        <w:ind w:firstLine="640"/>
        <w:jc w:val="both"/>
      </w:pPr>
      <w:r>
        <w:rPr>
          <w:rFonts w:ascii="FangSong_GB2312" w:hAnsi="FangSong_GB2312" w:eastAsia="FangSong_GB2312" w:cs="FangSong_GB2312"/>
          <w:b w:val="0"/>
          <w:sz w:val="32"/>
        </w:rPr>
        <w:t>英国预计2024年负电价时长将达到306小时，较2025年的149小时大幅增加，主要受可再生能源发电量超过电力需求的影响。这一趋势为电池储能业创造了新的发展机遇。储能电池通过在供过于求时吸收多余电力，并在价格反弹时释放，有助于平抑电价波动。英国今年预计将有9.8吉瓦时的电池容量投入使用，远超过去十年的总和。银行正将电池视为基础设施类资产，而非投机性押注。该事件主要反映了能源市场结构性变化和可再生能源发展带来的电力系统挑战，与央行数字货币无直接关联。</w:t>
      </w:r>
    </w:p>
    <w:p>
      <w:pPr>
        <w:spacing w:after="240"/>
        <w:ind w:left="0" w:firstLine="0"/>
        <w:jc w:val="left"/>
      </w:pPr>
      <w:r>
        <w:rPr>
          <w:rFonts w:ascii="FangSong_GB2312" w:hAnsi="FangSong_GB2312" w:eastAsia="FangSong_GB2312" w:cs="FangSong_GB2312"/>
          <w:b w:val="0"/>
          <w:sz w:val="32"/>
        </w:rPr>
        <w:t>（未央：https://www.weiyangx.com/457653.html）</w:t>
      </w:r>
    </w:p>
    <w:p>
      <w:pPr>
        <w:spacing w:before="240" w:after="120"/>
      </w:pPr>
      <w:r>
        <w:rPr>
          <w:rFonts w:ascii="SimHei" w:hAnsi="SimHei" w:eastAsia="SimHei" w:cs="SimHei"/>
          <w:b/>
          <w:sz w:val="32"/>
        </w:rPr>
        <w:t>四十二、西班牙首相：将禁止16岁以下青少年访问社交网络平台</w:t>
      </w:r>
    </w:p>
    <w:p>
      <w:pPr>
        <w:spacing w:line="360" w:lineRule="auto"/>
        <w:ind w:firstLine="640"/>
        <w:jc w:val="both"/>
      </w:pPr>
      <w:r>
        <w:rPr>
          <w:rFonts w:ascii="FangSong_GB2312" w:hAnsi="FangSong_GB2312" w:eastAsia="FangSong_GB2312" w:cs="FangSong_GB2312"/>
          <w:b w:val="0"/>
          <w:sz w:val="32"/>
        </w:rPr>
        <w:t>西班牙政府计划禁止16岁以下青少年使用社交网络平台，并要求平台实施年龄验证系统。该举措与《网络环境未成年人保护法》草案相关，强化数字环境安全，体现对数字货币相关监管的前瞻性。</w:t>
      </w:r>
    </w:p>
    <w:p>
      <w:pPr>
        <w:spacing w:after="240"/>
        <w:ind w:left="0" w:firstLine="0"/>
        <w:jc w:val="left"/>
      </w:pPr>
      <w:r>
        <w:rPr>
          <w:rFonts w:ascii="FangSong_GB2312" w:hAnsi="FangSong_GB2312" w:eastAsia="FangSong_GB2312" w:cs="FangSong_GB2312"/>
          <w:b w:val="0"/>
          <w:sz w:val="32"/>
        </w:rPr>
        <w:t>（未央：https://www.weiyangx.com/457619.html）</w:t>
      </w:r>
    </w:p>
    <w:p>
      <w:pPr>
        <w:spacing w:before="240" w:after="120"/>
      </w:pPr>
      <w:r>
        <w:rPr>
          <w:rFonts w:ascii="SimHei" w:hAnsi="SimHei" w:eastAsia="SimHei" w:cs="SimHei"/>
          <w:b/>
          <w:sz w:val="32"/>
        </w:rPr>
        <w:t>四十三、印尼银行与韩国银行继续推进韩印跨境二维码支付互联合作</w:t>
      </w:r>
    </w:p>
    <w:p>
      <w:pPr>
        <w:spacing w:line="360" w:lineRule="auto"/>
        <w:ind w:firstLine="640"/>
        <w:jc w:val="both"/>
      </w:pPr>
      <w:r>
        <w:rPr>
          <w:rFonts w:ascii="FangSong_GB2312" w:hAnsi="FangSong_GB2312" w:eastAsia="FangSong_GB2312" w:cs="FangSong_GB2312"/>
          <w:b w:val="0"/>
          <w:sz w:val="32"/>
        </w:rPr>
        <w:t>2026年2月5日，印度尼西亚银行与韩国银行就跨境二维码支付服务互联互通项目进展进行审议，并同意持续深化合作。该互联互通源于2023年启动的双边磋商，并于2024年7月签署合作备忘录。该项目将与自2024年9月生效的韩印本地货币交易框架相结合，旨在为两国访客提供更便捷、高效的支付体验，通过降低外汇兑换成本及交易费用，促进双边贸易、旅游及消费等实体经济领域交流。</w:t>
      </w:r>
    </w:p>
    <w:p>
      <w:pPr>
        <w:spacing w:after="240"/>
        <w:ind w:left="0" w:firstLine="0"/>
        <w:jc w:val="left"/>
      </w:pPr>
      <w:r>
        <w:rPr>
          <w:rFonts w:ascii="FangSong_GB2312" w:hAnsi="FangSong_GB2312" w:eastAsia="FangSong_GB2312" w:cs="FangSong_GB2312"/>
          <w:b w:val="0"/>
          <w:sz w:val="32"/>
        </w:rPr>
        <w:t>（印度尼西亚：https://www.bi.go.id/en/publikasi/ruang-media/news-release/Pages/sp_283026.aspx）</w:t>
      </w:r>
    </w:p>
    <w:p>
      <w:pPr>
        <w:spacing w:before="240" w:after="120"/>
      </w:pPr>
      <w:r>
        <w:rPr>
          <w:rFonts w:ascii="SimHei" w:hAnsi="SimHei" w:eastAsia="SimHei" w:cs="SimHei"/>
          <w:b/>
          <w:sz w:val="32"/>
        </w:rPr>
        <w:t>四十四、印尼央行与韩国央行续签双边货币互换协议</w:t>
      </w:r>
    </w:p>
    <w:p>
      <w:pPr>
        <w:spacing w:line="360" w:lineRule="auto"/>
        <w:ind w:firstLine="640"/>
        <w:jc w:val="both"/>
      </w:pPr>
      <w:r>
        <w:rPr>
          <w:rFonts w:ascii="FangSong_GB2312" w:hAnsi="FangSong_GB2312" w:eastAsia="FangSong_GB2312" w:cs="FangSong_GB2312"/>
          <w:b w:val="0"/>
          <w:sz w:val="32"/>
        </w:rPr>
        <w:t>印尼银行与韩国银行今日宣布续签双边货币互换安排(BCSA)，该协议由印尼央行行长瓦尔吉约和韩国央行行长李昌镛共同签署。协议框架允许两国央行交换本币，规模最高达1070万亿韩元或1.15万万亿印尼盾。该安排旨在促进双边贸易，加强印尼与韩国之间的金融合作，特别支持使用两国本币进行贸易结算，从而有助于区域金融稳定。该双边货币互换协议最初于2014年3月签署，此后多次延期(2017年3月、2020年3月)，本次延期有效期为五年，从2026年3月6日至2031年3月5日，可经双方同意进一步延长。</w:t>
      </w:r>
    </w:p>
    <w:p>
      <w:pPr>
        <w:spacing w:after="240"/>
        <w:ind w:left="0" w:firstLine="0"/>
        <w:jc w:val="left"/>
      </w:pPr>
      <w:r>
        <w:rPr>
          <w:rFonts w:ascii="FangSong_GB2312" w:hAnsi="FangSong_GB2312" w:eastAsia="FangSong_GB2312" w:cs="FangSong_GB2312"/>
          <w:b w:val="0"/>
          <w:sz w:val="32"/>
        </w:rPr>
        <w:t>（印度尼西亚：https://www.bi.go.id/en/publikasi/ruang-media/news-release/Pages/sp_282926.aspx）</w:t>
      </w:r>
    </w:p>
    <w:p>
      <w:pPr>
        <w:spacing w:before="240" w:after="120"/>
      </w:pPr>
      <w:r>
        <w:rPr>
          <w:rFonts w:ascii="SimHei" w:hAnsi="SimHei" w:eastAsia="SimHei" w:cs="SimHei"/>
          <w:b/>
          <w:sz w:val="32"/>
        </w:rPr>
        <w:t>四十五、摩根士丹利维持印度尼西亚主权评级不变，展望下调</w:t>
      </w:r>
    </w:p>
    <w:p>
      <w:pPr>
        <w:spacing w:line="360" w:lineRule="auto"/>
        <w:ind w:firstLine="640"/>
        <w:jc w:val="both"/>
      </w:pPr>
      <w:r>
        <w:rPr>
          <w:rFonts w:ascii="FangSong_GB2312" w:hAnsi="FangSong_GB2312" w:eastAsia="FangSong_GB2312" w:cs="FangSong_GB2312"/>
          <w:b w:val="0"/>
          <w:sz w:val="32"/>
        </w:rPr>
        <w:t>摩根士丹利维持印度尼西亚主权评级Baa2不变，并将其展望下调至负面。报告指出，印度尼西亚经济韧性强劲，拥有稳定的经济增长、自然资源优势和有利的人口结构，为中期增长前景提供支持。货币政策和财政纪律的信誉也支持了宏观经济和金融体系的稳定。然而，展望下调主要反映了对政策可预测性的下降风险，若持续可能对经济表现产生影响。此次评级调整反映了对印度尼西亚经济未来发展方向的担忧，而非直接涉及央行数字货币政策。</w:t>
      </w:r>
    </w:p>
    <w:p>
      <w:pPr>
        <w:spacing w:after="240"/>
        <w:ind w:left="0" w:firstLine="0"/>
        <w:jc w:val="left"/>
      </w:pPr>
      <w:r>
        <w:rPr>
          <w:rFonts w:ascii="FangSong_GB2312" w:hAnsi="FangSong_GB2312" w:eastAsia="FangSong_GB2312" w:cs="FangSong_GB2312"/>
          <w:b w:val="0"/>
          <w:sz w:val="32"/>
        </w:rPr>
        <w:t>（印度尼西亚：https://www.bi.go.id/en/publikasi/ruang-media/news-release/Pages/sp_282726.aspx）</w:t>
      </w:r>
    </w:p>
    <w:p>
      <w:pPr>
        <w:spacing w:before="240" w:after="120"/>
      </w:pPr>
      <w:r>
        <w:rPr>
          <w:rFonts w:ascii="SimHei" w:hAnsi="SimHei" w:eastAsia="SimHei" w:cs="SimHei"/>
          <w:b/>
          <w:sz w:val="32"/>
        </w:rPr>
        <w:t>四十六、促进欧洲与非洲贸易及经济一体化</w:t>
      </w:r>
    </w:p>
    <w:p>
      <w:pPr>
        <w:spacing w:line="360" w:lineRule="auto"/>
        <w:ind w:firstLine="640"/>
        <w:jc w:val="both"/>
      </w:pPr>
      <w:r>
        <w:rPr>
          <w:rFonts w:ascii="FangSong_GB2312" w:hAnsi="FangSong_GB2312" w:eastAsia="FangSong_GB2312" w:cs="FangSong_GB2312"/>
          <w:b w:val="0"/>
          <w:sz w:val="32"/>
        </w:rPr>
        <w:t>国际货币基金组织总裁格奥尔基耶娃在阿尔及尔会议演讲中指出，当前全球处于深刻转型期，地缘政治紧张、贸易金融流动重组、供应链重构及能源体系变革叠加技术（尤其是人工智能）快速进步，导致不确定性高企并可能成为新常态。她强调在此背景下，国际间加强合作至关重要。演讲聚焦北非地区作为连接欧洲与撒哈拉以南非洲的枢纽潜力，认为该区域可通过深化区域合作与一体化，把握技术变革机遇，为民众创造更大增长与繁荣。发言未涉及数字货币、货币政策技术框架或具体金融基础设施议题。</w:t>
      </w:r>
    </w:p>
    <w:p>
      <w:pPr>
        <w:spacing w:after="240"/>
        <w:ind w:left="0" w:firstLine="0"/>
        <w:jc w:val="left"/>
      </w:pPr>
      <w:r>
        <w:rPr>
          <w:rFonts w:ascii="FangSong_GB2312" w:hAnsi="FangSong_GB2312" w:eastAsia="FangSong_GB2312" w:cs="FangSong_GB2312"/>
          <w:b w:val="0"/>
          <w:sz w:val="32"/>
        </w:rPr>
        <w:t>（IMF：https://www.imf.org/en/news/articles/2026/02/05/sp-boosting-trade-and-economic-integration-across-europe-and-africa-in-algeria）</w:t>
      </w:r>
    </w:p>
    <w:p>
      <w:pPr>
        <w:spacing w:before="240" w:after="120"/>
      </w:pPr>
      <w:r>
        <w:rPr>
          <w:rFonts w:ascii="SimHei" w:hAnsi="SimHei" w:eastAsia="SimHei" w:cs="SimHei"/>
          <w:b/>
          <w:sz w:val="32"/>
        </w:rPr>
        <w:t>四十七、国际货币基金组织执行董事会完成对巴哈马2025年第四条款磋商</w:t>
      </w:r>
    </w:p>
    <w:p>
      <w:pPr>
        <w:spacing w:line="360" w:lineRule="auto"/>
        <w:ind w:firstLine="640"/>
        <w:jc w:val="both"/>
      </w:pPr>
      <w:r>
        <w:rPr>
          <w:rFonts w:ascii="FangSong_GB2312" w:hAnsi="FangSong_GB2312" w:eastAsia="FangSong_GB2312" w:cs="FangSong_GB2312"/>
          <w:b w:val="0"/>
          <w:sz w:val="32"/>
        </w:rPr>
        <w:t>国际货币基金组织执行董事会已完成对巴哈马的2025年第四条款磋商，并审议通过了工作人员评估报告。巴哈马经济在近年持续增强，2024年实际GDP增长3.4%，2025年上半年增长势头保持韧性，主要得益于建筑业和邮轮旅游业的支撑。2025年第二季度失业率为9.3%，通胀率降至1.3%。财政状况持续改善，2024/25财年财政赤字收窄至GDP的0.5%，中央政府债务虽有所下降但仍需关注。磋商未涉及央行数字货币相关议题。</w:t>
      </w:r>
    </w:p>
    <w:p>
      <w:pPr>
        <w:spacing w:after="240"/>
        <w:ind w:left="0" w:firstLine="0"/>
        <w:jc w:val="left"/>
      </w:pPr>
      <w:r>
        <w:rPr>
          <w:rFonts w:ascii="FangSong_GB2312" w:hAnsi="FangSong_GB2312" w:eastAsia="FangSong_GB2312" w:cs="FangSong_GB2312"/>
          <w:b w:val="0"/>
          <w:sz w:val="32"/>
        </w:rPr>
        <w:t>（IMF：https://www.imf.org/en/news/articles/2026/02/04/pr-26031-the-bahamas-imf-executive-board-concludes-2025-article-iv-consultation）</w:t>
      </w:r>
    </w:p>
    <w:p>
      <w:pPr>
        <w:spacing w:before="240" w:after="120"/>
      </w:pPr>
      <w:r>
        <w:rPr>
          <w:rFonts w:ascii="SimHei" w:hAnsi="SimHei" w:eastAsia="SimHei" w:cs="SimHei"/>
          <w:b/>
          <w:sz w:val="32"/>
        </w:rPr>
        <w:t>四十八、以色列：2026年第四条款磋商任务的工作人员总结性声明</w:t>
      </w:r>
    </w:p>
    <w:p>
      <w:pPr>
        <w:spacing w:line="360" w:lineRule="auto"/>
        <w:ind w:firstLine="640"/>
        <w:jc w:val="both"/>
      </w:pPr>
      <w:r>
        <w:rPr>
          <w:rFonts w:ascii="FangSong_GB2312" w:hAnsi="FangSong_GB2312" w:eastAsia="FangSong_GB2312" w:cs="FangSong_GB2312"/>
          <w:b w:val="0"/>
          <w:sz w:val="32"/>
        </w:rPr>
        <w:t>以色列经济展现出显著韧性。在加沙停火后，经济活动明显加速，工作人员预计短期内增长将进一步巩固。但存在下行风险，包括潜在的地区紧张局势再度升级。冲突的遗留问题十分显著：国防开支仍维持在高位，风险溢价较高，劳动力供应受到长期军事动员和非以色列工人减少的影响。这些压力将继续影响经济运行。</w:t>
      </w:r>
    </w:p>
    <w:p>
      <w:pPr>
        <w:spacing w:after="240"/>
        <w:ind w:left="0" w:firstLine="0"/>
        <w:jc w:val="left"/>
      </w:pPr>
      <w:r>
        <w:rPr>
          <w:rFonts w:ascii="FangSong_GB2312" w:hAnsi="FangSong_GB2312" w:eastAsia="FangSong_GB2312" w:cs="FangSong_GB2312"/>
          <w:b w:val="0"/>
          <w:sz w:val="32"/>
        </w:rPr>
        <w:t>（IMF：https://www.imf.org/en/news/articles/2026/02/05/mcs-02052026-israel-staff-concluding-statement-of-the-2026-article-iv-mission）</w:t>
      </w:r>
    </w:p>
    <w:p>
      <w:pPr>
        <w:spacing w:before="240" w:after="120"/>
      </w:pPr>
      <w:r>
        <w:rPr>
          <w:rFonts w:ascii="SimHei" w:hAnsi="SimHei" w:eastAsia="SimHei" w:cs="SimHei"/>
          <w:b/>
          <w:sz w:val="32"/>
        </w:rPr>
        <w:t>四十九、以色列：2026年第四条磋商工作人员总结声明</w:t>
      </w:r>
    </w:p>
    <w:p>
      <w:pPr>
        <w:spacing w:line="360" w:lineRule="auto"/>
        <w:ind w:firstLine="640"/>
        <w:jc w:val="both"/>
      </w:pPr>
      <w:r>
        <w:rPr>
          <w:rFonts w:ascii="FangSong_GB2312" w:hAnsi="FangSong_GB2312" w:eastAsia="FangSong_GB2312" w:cs="FangSong_GB2312"/>
          <w:b w:val="0"/>
          <w:sz w:val="32"/>
        </w:rPr>
        <w:t>以色列经济展现显著韧性。加沙停火后经济活动明显加速，工作人员预计近期增长将趋于稳固。声明聚焦宏观经济表现与短期前景，未涉及数字货币或相关金融政策框架。</w:t>
      </w:r>
    </w:p>
    <w:p>
      <w:pPr>
        <w:spacing w:after="240"/>
        <w:ind w:left="0" w:firstLine="0"/>
        <w:jc w:val="left"/>
      </w:pPr>
      <w:r>
        <w:rPr>
          <w:rFonts w:ascii="FangSong_GB2312" w:hAnsi="FangSong_GB2312" w:eastAsia="FangSong_GB2312" w:cs="FangSong_GB2312"/>
          <w:b w:val="0"/>
          <w:sz w:val="32"/>
        </w:rPr>
        <w:t>（IMF：https://www.imf.org/en/news/articles/2026/02/05/pr26032-israel-staff-concluding-statement-2026-aiv-mission）</w:t>
      </w:r>
    </w:p>
    <w:p>
      <w:pPr>
        <w:spacing w:before="240" w:after="120"/>
      </w:pPr>
      <w:r>
        <w:rPr>
          <w:rFonts w:ascii="SimHei" w:hAnsi="SimHei" w:eastAsia="SimHei" w:cs="SimHei"/>
          <w:b/>
          <w:sz w:val="32"/>
        </w:rPr>
        <w:t>五十、俄罗斯央行启动2028年货币政策评估计划</w:t>
      </w:r>
    </w:p>
    <w:p>
      <w:pPr>
        <w:spacing w:line="360" w:lineRule="auto"/>
        <w:ind w:firstLine="640"/>
        <w:jc w:val="both"/>
      </w:pPr>
      <w:r>
        <w:rPr>
          <w:rFonts w:ascii="FangSong_GB2312" w:hAnsi="FangSong_GB2312" w:eastAsia="FangSong_GB2312" w:cs="FangSong_GB2312"/>
          <w:b w:val="0"/>
          <w:sz w:val="32"/>
        </w:rPr>
        <w:t>俄罗斯央行发布2028年货币政策评估计划，将于2026-2027年开展分析工作，2028年中期总结成果。评估重点包括通胀目标框架、货币政策操作机制、政策有效性回顾、沟通策略、政策协调以及长期趋势等六大领域。央行邀请专家学者参与分析，计划于2027年中期启动公众讨论。这是俄罗斯央行常规的货币政策评估工作，旨在优化政策框架和工具，提升政策透明度和有效性。</w:t>
      </w:r>
    </w:p>
    <w:p>
      <w:pPr>
        <w:spacing w:after="240"/>
        <w:ind w:left="0" w:firstLine="0"/>
        <w:jc w:val="left"/>
      </w:pPr>
      <w:r>
        <w:rPr>
          <w:rFonts w:ascii="FangSong_GB2312" w:hAnsi="FangSong_GB2312" w:eastAsia="FangSong_GB2312" w:cs="FangSong_GB2312"/>
          <w:b w:val="0"/>
          <w:sz w:val="32"/>
        </w:rPr>
        <w:t>（俄罗斯：https://www.cbr.ru/eng/press/event/?id=28283）</w:t>
      </w:r>
    </w:p>
    <w:p>
      <w:pPr>
        <w:spacing w:before="240" w:after="120"/>
      </w:pPr>
      <w:r>
        <w:rPr>
          <w:rFonts w:ascii="SimHei" w:hAnsi="SimHei" w:eastAsia="SimHei" w:cs="SimHei"/>
          <w:b/>
          <w:sz w:val="32"/>
        </w:rPr>
        <w:t>五十一、银行合并报表比率计算新规：讨论概念</w:t>
      </w:r>
    </w:p>
    <w:p>
      <w:pPr>
        <w:spacing w:line="360" w:lineRule="auto"/>
        <w:ind w:firstLine="640"/>
        <w:jc w:val="both"/>
      </w:pPr>
      <w:r>
        <w:rPr>
          <w:rFonts w:ascii="FangSong_GB2312" w:hAnsi="FangSong_GB2312" w:eastAsia="FangSong_GB2312" w:cs="FangSong_GB2312"/>
          <w:b w:val="0"/>
          <w:sz w:val="32"/>
        </w:rPr>
        <w:t>俄罗斯央行发布合并报表比率计算规则调整讨论稿，拟通过将更多子公司及关联机构纳入合并范围，提升银行集团整体风险计量的准确性，从而更精确评估所需资本缓冲水平。新规监管框架计划于2026年完成制定，并拟自2027年第四季度起生效实施，过渡期将分阶段推进相关决定。该概念文件目前正面向市场公开征求意见，截止日期为2026年3月4日。</w:t>
      </w:r>
    </w:p>
    <w:p>
      <w:pPr>
        <w:spacing w:after="240"/>
        <w:ind w:left="0" w:firstLine="0"/>
        <w:jc w:val="left"/>
      </w:pPr>
      <w:r>
        <w:rPr>
          <w:rFonts w:ascii="FangSong_GB2312" w:hAnsi="FangSong_GB2312" w:eastAsia="FangSong_GB2312" w:cs="FangSong_GB2312"/>
          <w:b w:val="0"/>
          <w:sz w:val="32"/>
        </w:rPr>
        <w:t>（俄罗斯：https://www.cbr.ru/eng/press/event/?id=28282）</w:t>
      </w:r>
    </w:p>
    <w:p>
      <w:pPr>
        <w:spacing w:before="240" w:after="120"/>
      </w:pPr>
      <w:r>
        <w:rPr>
          <w:rFonts w:ascii="SimHei" w:hAnsi="SimHei" w:eastAsia="SimHei" w:cs="SimHei"/>
          <w:b/>
          <w:sz w:val="32"/>
        </w:rPr>
        <w:t>五十二、俄罗斯联邦武装力量系列新硬币发行</w:t>
      </w:r>
    </w:p>
    <w:p>
      <w:pPr>
        <w:spacing w:line="360" w:lineRule="auto"/>
        <w:ind w:firstLine="640"/>
        <w:jc w:val="both"/>
      </w:pPr>
      <w:r>
        <w:rPr>
          <w:rFonts w:ascii="FangSong_GB2312" w:hAnsi="FangSong_GB2312" w:eastAsia="FangSong_GB2312" w:cs="FangSong_GB2312"/>
          <w:b w:val="0"/>
          <w:sz w:val="32"/>
        </w:rPr>
        <w:t>俄罗斯银行发行了俄罗斯联邦武装力量系列新硬币。这些硬币正面采用俄罗斯联邦国徽图案，并标注发行年份、面值和金属成分等信息。背面分别展示了核生化防护部队徽章和身穿防护服的军人形象。该系列硬币为传统实物货币，不涉及任何数字货币或央行数字货币相关内容。</w:t>
      </w:r>
    </w:p>
    <w:p>
      <w:pPr>
        <w:spacing w:after="240"/>
        <w:ind w:left="0" w:firstLine="0"/>
        <w:jc w:val="left"/>
      </w:pPr>
      <w:r>
        <w:rPr>
          <w:rFonts w:ascii="FangSong_GB2312" w:hAnsi="FangSong_GB2312" w:eastAsia="FangSong_GB2312" w:cs="FangSong_GB2312"/>
          <w:b w:val="0"/>
          <w:sz w:val="32"/>
        </w:rPr>
        <w:t>（俄罗斯：https://www.cbr.ru/eng/press/pr/?file=639058796482027081ENG_COINS.htm）</w:t>
      </w:r>
    </w:p>
    <w:p>
      <w:pPr>
        <w:spacing w:before="240" w:after="120"/>
      </w:pPr>
      <w:r>
        <w:rPr>
          <w:rFonts w:ascii="SimHei" w:hAnsi="SimHei" w:eastAsia="SimHei" w:cs="SimHei"/>
          <w:b/>
          <w:sz w:val="32"/>
        </w:rPr>
        <w:t>五十三、日本银行2026年1月市场操作报告</w:t>
      </w:r>
    </w:p>
    <w:p>
      <w:pPr>
        <w:spacing w:line="360" w:lineRule="auto"/>
        <w:ind w:firstLine="640"/>
        <w:jc w:val="both"/>
      </w:pPr>
      <w:r>
        <w:rPr>
          <w:rFonts w:ascii="FangSong_GB2312" w:hAnsi="FangSong_GB2312" w:eastAsia="FangSong_GB2312" w:cs="FangSong_GB2312"/>
          <w:b w:val="0"/>
          <w:sz w:val="32"/>
        </w:rPr>
        <w:t>该资讯为日本银行发布的公开市场操作月度数据文件（2026年1月），内容涵盖其常规货币政策执行情况，包括公开市场操作工具的具体运用与规模。此类报告属于传统货币政策操作信息披露，旨在反映央行对银行体系流动性的日常管理。报告未涉及央行数字货币（CBDC）的设计框架、技术测试、法律修订或相关基础设施（如分布式账本技术、代币化存款）的任何内容。其性质与加密货币市场动态、一般性货币供应量统计或非CBDC领域的金融监管事项无直接关联。</w:t>
      </w:r>
    </w:p>
    <w:p>
      <w:pPr>
        <w:spacing w:after="240"/>
        <w:ind w:left="0" w:firstLine="0"/>
        <w:jc w:val="left"/>
      </w:pPr>
      <w:r>
        <w:rPr>
          <w:rFonts w:ascii="FangSong_GB2312" w:hAnsi="FangSong_GB2312" w:eastAsia="FangSong_GB2312" w:cs="FangSong_GB2312"/>
          <w:b w:val="0"/>
          <w:sz w:val="32"/>
        </w:rPr>
        <w:t>（日本：https://www.boj.or.jp/en/statistics/boj/fm/ope/m_release/2026/ope2601.xlsx）</w:t>
      </w:r>
    </w:p>
    <w:p>
      <w:pPr>
        <w:spacing w:before="240" w:after="120"/>
      </w:pPr>
      <w:r>
        <w:rPr>
          <w:rFonts w:ascii="SimHei" w:hAnsi="SimHei" w:eastAsia="SimHei" w:cs="SimHei"/>
          <w:b/>
          <w:sz w:val="32"/>
        </w:rPr>
        <w:t>五十四、日本银行1月货币基础及交易数据</w:t>
      </w:r>
    </w:p>
    <w:p>
      <w:pPr>
        <w:spacing w:line="360" w:lineRule="auto"/>
        <w:ind w:firstLine="640"/>
        <w:jc w:val="both"/>
      </w:pPr>
      <w:r>
        <w:rPr>
          <w:rFonts w:ascii="FangSong_GB2312" w:hAnsi="FangSong_GB2312" w:eastAsia="FangSong_GB2312" w:cs="FangSong_GB2312"/>
          <w:b w:val="0"/>
          <w:sz w:val="32"/>
        </w:rPr>
        <w:t>日本银行发布1月货币基础及交易数据报告。报告主要涉及传统货币基础统计数据，未涉及央行数字货币相关内容。数据显示日本银行在货币政策执行和金融市场运作方面的常规工作进展。报告未提及任何数字货币政策框架、法律监管或技术基础设施建设情况。</w:t>
      </w:r>
    </w:p>
    <w:p>
      <w:pPr>
        <w:spacing w:after="240"/>
        <w:ind w:left="0" w:firstLine="0"/>
        <w:jc w:val="left"/>
      </w:pPr>
      <w:r>
        <w:rPr>
          <w:rFonts w:ascii="FangSong_GB2312" w:hAnsi="FangSong_GB2312" w:eastAsia="FangSong_GB2312" w:cs="FangSong_GB2312"/>
          <w:b w:val="0"/>
          <w:sz w:val="32"/>
        </w:rPr>
        <w:t>（日本：https://www.boj.or.jp/en/statistics/boj/other/mbt/mbt2601.pdf）</w:t>
      </w:r>
    </w:p>
    <w:p>
      <w:pPr>
        <w:spacing w:before="240" w:after="120"/>
      </w:pPr>
      <w:r>
        <w:rPr>
          <w:rFonts w:ascii="SimHei" w:hAnsi="SimHei" w:eastAsia="SimHei" w:cs="SimHei"/>
          <w:b/>
          <w:sz w:val="32"/>
        </w:rPr>
        <w:t>五十五、Bank of Japan's Transactions with the Government (Jan.)[PDF 93KB]</w:t>
      </w:r>
    </w:p>
    <w:p>
      <w:pPr>
        <w:spacing w:line="360" w:lineRule="auto"/>
        <w:ind w:firstLine="640"/>
        <w:jc w:val="both"/>
      </w:pPr>
      <w:r>
        <w:rPr>
          <w:rFonts w:ascii="FangSong_GB2312" w:hAnsi="FangSong_GB2312" w:eastAsia="FangSong_GB2312" w:cs="FangSong_GB2312"/>
          <w:b w:val="0"/>
          <w:sz w:val="32"/>
        </w:rPr>
        <w:t>[Error] Page.goto: Download is starting Call log: - navigating to "https://www.boj.or.jp/en/statistics/boj/other/tseifu/release/2026/seifu2601.pdf", waiting until "networkidle"</w:t>
      </w:r>
    </w:p>
    <w:p>
      <w:pPr>
        <w:spacing w:after="240"/>
        <w:ind w:left="0" w:firstLine="0"/>
        <w:jc w:val="left"/>
      </w:pPr>
      <w:r>
        <w:rPr>
          <w:rFonts w:ascii="FangSong_GB2312" w:hAnsi="FangSong_GB2312" w:eastAsia="FangSong_GB2312" w:cs="FangSong_GB2312"/>
          <w:b w:val="0"/>
          <w:sz w:val="32"/>
        </w:rPr>
        <w:t>（日本：https://www.boj.or.jp/en/statistics/boj/other/tseifu/release/2026/seifu2601.pdf）</w:t>
      </w:r>
    </w:p>
    <w:p w14:paraId="362E5920">
      <w:pPr>
        <w:spacing w:line="560" w:lineRule="exact"/>
        <w:ind w:firstLine="600" w:firstLineChars="200"/>
        <w:rPr>
          <w:rFonts w:hint="default" w:ascii="仿宋_GB2312" w:hAnsi="仿宋_GB2312" w:eastAsia="仿宋_GB2312" w:cs="仿宋_GB2312"/>
          <w:iCs/>
          <w:sz w:val="30"/>
          <w:szCs w:val="30"/>
          <w:lang w:val="en-US" w:eastAsia="zh-CN"/>
        </w:rPr>
      </w:pPr>
      <w:r>
        <w:rPr>
          <w:rFonts w:ascii="FangSong_GB2312" w:hAnsi="FangSong_GB2312" w:eastAsia="FangSong_GB2312" w:cs="FangSong_GB2312"/>
          <w:b w:val="0"/>
          <w:sz w:val="32"/>
        </w:rPr>
        <w:t>编译：操作员1</w:t>
      </w:r>
    </w:p>
    <w:p w14:paraId="360AC910">
      <w:pPr>
        <w:spacing w:line="560" w:lineRule="exact"/>
        <w:ind w:firstLine="600" w:firstLineChars="200"/>
        <w:rPr>
          <w:rFonts w:hint="eastAsia" w:ascii="仿宋_GB2312" w:hAnsi="仿宋_GB2312" w:eastAsia="仿宋_GB2312" w:cs="仿宋_GB2312"/>
          <w:iCs/>
          <w:sz w:val="30"/>
          <w:szCs w:val="30"/>
          <w:lang w:val="en-US" w:eastAsia="zh-CN"/>
        </w:rPr>
      </w:pPr>
      <w:r>
        <w:rPr>
          <w:rFonts w:ascii="FangSong_GB2312" w:hAnsi="FangSong_GB2312" w:eastAsia="FangSong_GB2312" w:cs="FangSong_GB2312"/>
          <w:b w:val="0"/>
          <w:sz w:val="32"/>
        </w:rPr>
        <w:t>编审：巴音桑</w:t>
      </w:r>
    </w:p>
    <w:p w14:paraId="3E2C3712">
      <w:pPr>
        <w:widowControl/>
        <w:numPr>
          <w:ilvl w:val="0"/>
          <w:numId w:val="0"/>
        </w:numPr>
        <w:wordWrap/>
        <w:adjustRightInd/>
        <w:snapToGrid/>
        <w:spacing w:line="560" w:lineRule="exact"/>
        <w:ind w:firstLine="600" w:firstLineChars="200"/>
        <w:textAlignment w:val="auto"/>
        <w:rPr>
          <w:rFonts w:hint="eastAsia" w:ascii="Times New Roman" w:hAnsi="Times New Roman" w:eastAsia="仿宋_GB2312"/>
          <w:sz w:val="30"/>
          <w:szCs w:val="30"/>
          <w:lang w:val="en-US" w:eastAsia="zh-CN"/>
        </w:rPr>
      </w:pPr>
    </w:p>
    <w:p w14:paraId="2679A10E">
      <w:pPr>
        <w:widowControl/>
        <w:numPr>
          <w:ilvl w:val="0"/>
          <w:numId w:val="0"/>
        </w:numPr>
        <w:wordWrap/>
        <w:adjustRightInd/>
        <w:snapToGrid/>
        <w:spacing w:line="560" w:lineRule="exact"/>
        <w:ind w:firstLine="600" w:firstLineChars="200"/>
        <w:textAlignment w:val="auto"/>
        <w:rPr>
          <w:rFonts w:hint="eastAsia" w:ascii="Times New Roman" w:hAnsi="Times New Roman" w:eastAsia="仿宋_GB2312"/>
          <w:sz w:val="30"/>
          <w:szCs w:val="30"/>
          <w:lang w:val="en-US" w:eastAsia="zh-CN"/>
        </w:rPr>
      </w:pPr>
    </w:p>
    <w:p w14:paraId="367D47D4">
      <w:pPr>
        <w:pStyle w:val="5"/>
        <w:shd w:val="clear" w:color="auto" w:fill="FFFFFF"/>
        <w:spacing w:before="0" w:beforeAutospacing="0" w:after="0" w:afterAutospacing="0" w:line="560" w:lineRule="exact"/>
        <w:rPr>
          <w:rFonts w:hint="eastAsia" w:ascii="Times New Roman" w:hAnsi="Times New Roman" w:eastAsia="仿宋_GB2312" w:cs="Times New Roman"/>
          <w:iCs/>
          <w:sz w:val="30"/>
          <w:szCs w:val="30"/>
          <w:lang w:val="en-US" w:eastAsia="zh-CN"/>
        </w:rPr>
      </w:pPr>
    </w:p>
    <w:p w14:paraId="5F9AAECB">
      <w:pPr>
        <w:pStyle w:val="5"/>
        <w:shd w:val="clear" w:color="auto" w:fill="FFFFFF"/>
        <w:spacing w:before="0" w:beforeAutospacing="0" w:after="0" w:afterAutospacing="0" w:line="560" w:lineRule="exact"/>
        <w:rPr>
          <w:rFonts w:ascii="Times New Roman" w:hAnsi="Times New Roman" w:eastAsia="仿宋_GB2312" w:cs="Times New Roman"/>
          <w:iCs/>
          <w:sz w:val="30"/>
          <w:szCs w:val="30"/>
        </w:rPr>
      </w:pPr>
    </w:p>
    <w:p w14:paraId="157469DF">
      <w:pPr>
        <w:pStyle w:val="5"/>
        <w:shd w:val="clear" w:color="auto" w:fill="FFFFFF"/>
        <w:spacing w:before="0" w:beforeAutospacing="0" w:after="0" w:afterAutospacing="0" w:line="560" w:lineRule="exact"/>
        <w:ind w:firstLine="600" w:firstLineChars="200"/>
        <w:rPr>
          <w:rFonts w:ascii="仿宋_GB2312" w:hAnsi="仿宋_GB2312" w:eastAsia="仿宋_GB2312" w:cs="仿宋_GB2312"/>
          <w:sz w:val="30"/>
          <w:szCs w:val="30"/>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D162">
    <w:pPr>
      <w:pStyle w:val="4"/>
      <w:jc w:val="center"/>
    </w:pPr>
    <w:r>
      <w:fldChar w:fldCharType="begin"/>
    </w:r>
    <w:r>
      <w:instrText xml:space="preserve">PAGE   \* MERGEFORMAT</w:instrText>
    </w:r>
    <w:r>
      <w:fldChar w:fldCharType="separate"/>
    </w:r>
    <w:r>
      <w:rPr>
        <w:lang w:val="zh-CN"/>
      </w:rPr>
      <w:t>2</w:t>
    </w:r>
    <w:r>
      <w:fldChar w:fldCharType="end"/>
    </w:r>
  </w:p>
  <w:p w14:paraId="1845DF3C">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7755EB7"/>
    <w:rsid w:val="38BB76AB"/>
    <w:rsid w:val="4CB80725"/>
    <w:rsid w:val="52734B8D"/>
    <w:rsid w:val="53BA549F"/>
    <w:rsid w:val="63AE504B"/>
    <w:rsid w:val="6851241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rPr>
  </w:style>
  <w:style w:type="character" w:default="1" w:styleId="8">
    <w:name w:val="Default Paragraph Font"/>
    <w:unhideWhenUsed/>
    <w:qFormat/>
    <w:uiPriority w:val="1"/>
  </w:style>
  <w:style w:type="table" w:default="1" w:styleId="7">
    <w:name w:val="Normal Table"/>
    <w:unhideWhenUsed/>
    <w:qFormat/>
    <w:uiPriority w:val="0"/>
    <w:tblPr>
      <w:tblCellMar>
        <w:top w:w="0" w:type="dxa"/>
        <w:left w:w="108" w:type="dxa"/>
        <w:bottom w:w="0" w:type="dxa"/>
        <w:right w:w="108" w:type="dxa"/>
      </w:tblCellMar>
    </w:tblPr>
  </w:style>
  <w:style w:type="paragraph" w:styleId="3">
    <w:name w:val="Body Text"/>
    <w:qFormat/>
    <w:uiPriority w:val="0"/>
    <w:rPr>
      <w:rFonts w:ascii="Arial" w:hAnsi="Arial" w:eastAsia="Arial" w:cs="Arial"/>
      <w:sz w:val="22"/>
      <w:szCs w:val="22"/>
      <w:lang w:val="en-US" w:eastAsia="en-US" w:bidi="ar-SA"/>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unhideWhenUsed/>
    <w:qFormat/>
    <w:uiPriority w:val="99"/>
    <w:pPr>
      <w:spacing w:before="100" w:beforeAutospacing="1" w:after="100" w:afterAutospacing="1"/>
    </w:pPr>
  </w:style>
  <w:style w:type="paragraph" w:styleId="6">
    <w:name w:val="Title"/>
    <w:basedOn w:val="1"/>
    <w:next w:val="1"/>
    <w:qFormat/>
    <w:uiPriority w:val="10"/>
    <w:pPr>
      <w:spacing w:before="240" w:after="60"/>
      <w:jc w:val="center"/>
      <w:outlineLvl w:val="0"/>
    </w:pPr>
    <w:rPr>
      <w:rFonts w:ascii="Calibri Light" w:hAnsi="Calibri Light"/>
      <w:b/>
      <w:bCs/>
      <w:sz w:val="32"/>
      <w:szCs w:val="32"/>
    </w:rPr>
  </w:style>
  <w:style w:type="character" w:styleId="9">
    <w:name w:val="FollowedHyperlink"/>
    <w:qFormat/>
    <w:uiPriority w:val="0"/>
    <w:rPr>
      <w:color w:val="800080"/>
      <w:u w:val="single"/>
    </w:rPr>
  </w:style>
  <w:style w:type="character" w:styleId="10">
    <w:name w:val="Emphasis"/>
    <w:basedOn w:val="8"/>
    <w:qFormat/>
    <w:uiPriority w:val="0"/>
    <w:rPr>
      <w:i/>
    </w:rPr>
  </w:style>
  <w:style w:type="character" w:styleId="11">
    <w:name w:val="Hyperlink"/>
    <w:basedOn w:val="8"/>
    <w:unhideWhenUsed/>
    <w:qFormat/>
    <w:uiPriority w:val="99"/>
    <w:rPr>
      <w:color w:val="0563C1"/>
      <w:u w:val="single"/>
    </w:rPr>
  </w:style>
  <w:style w:type="paragraph" w:customStyle="1" w:styleId="12">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Organization</Company>
  <Pages>1</Pages>
  <Words>56</Words>
  <Characters>59</Characters>
  <Lines>6</Lines>
  <Paragraphs>1</Paragraphs>
  <TotalTime>5</TotalTime>
  <ScaleCrop>false</ScaleCrop>
  <LinksUpToDate>false</LinksUpToDate>
  <CharactersWithSpaces>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2023-01-15T01:07:00Z</dcterms:created>
  <dc:creator>韩颖婕</dc:creator>
  <cp:lastModifiedBy>如梦(巴音桑)</cp:lastModifiedBy>
  <dcterms:modified xsi:type="dcterms:W3CDTF">2026-01-07T17:54:49Z</dcterms:modified>
  <dc:title>数字货币国际资讯日报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52A5E5E12F244FB6995394ACF1A9DAB0_13</vt:lpwstr>
  </property>
  <property fmtid="{D5CDD505-2E9C-101B-9397-08002B2CF9AE}" pid="4" name="KSOTemplateDocerSaveRecord">
    <vt:lpwstr>eyJoZGlkIjoiZjViYTZiNTQ1ZDJmMmI1YzFjM2NkMzY1N2NkYmViZjciLCJ1c2VySWQiOiI2NTY1OTY3NTIifQ==</vt:lpwstr>
  </property>
</Properties>
</file>