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9FC51">
      <w:pPr>
        <w:jc w:val="center"/>
        <w:rPr>
          <w:rFonts w:ascii="华文隶书" w:hAnsi="华文隶书" w:eastAsia="华文隶书"/>
          <w:i/>
          <w:iCs/>
          <w:sz w:val="88"/>
          <w:szCs w:val="88"/>
        </w:rPr>
      </w:pPr>
      <w:r>
        <w:rPr>
          <w:rFonts w:hint="eastAsia" w:eastAsia="华文行楷"/>
          <w:iCs/>
          <w:color w:val="FF0000"/>
          <w:spacing w:val="-20"/>
          <w:w w:val="90"/>
          <w:sz w:val="88"/>
          <w:szCs w:val="88"/>
        </w:rPr>
        <w:t>数字货币国际资讯日报</w:t>
      </w:r>
    </w:p>
    <w:p w14:paraId="123E26DE">
      <w:pPr>
        <w:pBdr>
          <w:bottom w:val="single" w:color="FF0000" w:sz="12" w:space="1"/>
        </w:pBdr>
        <w:rPr>
          <w:rFonts w:ascii="Times New Roman" w:hAnsi="Times New Roman" w:eastAsia="楷体_GB2312" w:cs="Times New Roman"/>
          <w:iCs/>
          <w:sz w:val="30"/>
        </w:rPr>
      </w:pPr>
    </w:p>
    <w:p w14:paraId="7FC78509">
      <w:pPr>
        <w:pBdr>
          <w:bottom w:val="single" w:color="FF0000" w:sz="12" w:space="1"/>
        </w:pBdr>
        <w:rPr>
          <w:rFonts w:hint="eastAsia" w:ascii="黑体" w:hAnsi="黑体" w:eastAsia="黑体" w:cs="黑体"/>
          <w:b w:val="0"/>
          <w:bCs w:val="0"/>
          <w:sz w:val="30"/>
          <w:szCs w:val="30"/>
          <w:lang w:val="en-US" w:eastAsia="zh-CN"/>
        </w:rPr>
      </w:pPr>
      <w:r>
        <w:rPr>
          <w:rFonts w:ascii="FangSong_GB2312" w:hAnsi="FangSong_GB2312" w:eastAsia="FangSong_GB2312" w:cs="FangSong_GB2312"/>
          <w:b w:val="0"/>
          <w:sz w:val="32"/>
        </w:rPr>
        <w:t>新疆维吾尔自治区分行                 2026年3月5日</w:t>
      </w:r>
    </w:p>
    <w:bookmarkEnd w:id="0"/>
    <w:p>
      <w:pPr>
        <w:spacing w:before="240" w:after="120"/>
      </w:pPr>
      <w:r>
        <w:rPr>
          <w:rFonts w:ascii="SimHei" w:hAnsi="SimHei" w:eastAsia="SimHei" w:cs="SimHei"/>
          <w:b/>
          <w:sz w:val="32"/>
        </w:rPr>
        <w:t>一、中文标题（请按正式公文风格翻译，准确简练）</w:t>
      </w:r>
    </w:p>
    <w:p>
      <w:pPr>
        <w:spacing w:line="360" w:lineRule="auto"/>
        <w:ind w:firstLine="640"/>
        <w:jc w:val="both"/>
      </w:pPr>
      <w:r>
        <w:rPr>
          <w:rFonts w:ascii="FangSong_GB2312" w:hAnsi="FangSong_GB2312" w:eastAsia="FangSong_GB2312" w:cs="FangSong_GB2312"/>
          <w:b w:val="0"/>
          <w:sz w:val="32"/>
        </w:rPr>
        <w:t>2025年政府债务显著上升，但利率支出低，信用评级维持AAA。央行推进数字货币政策，发行绿色政府债券，强化风险管理。</w:t>
      </w:r>
    </w:p>
    <w:p>
      <w:pPr>
        <w:spacing w:after="240"/>
        <w:ind w:left="0" w:firstLine="0"/>
        <w:jc w:val="left"/>
      </w:pPr>
      <w:r>
        <w:rPr>
          <w:rFonts w:ascii="FangSong_GB2312" w:hAnsi="FangSong_GB2312" w:eastAsia="FangSong_GB2312" w:cs="FangSong_GB2312"/>
          <w:b w:val="0"/>
          <w:sz w:val="32"/>
        </w:rPr>
        <w:t>（丹麦：https://www.nationalbanken.dk/en/news-and-knowledge/publications-and-speeches/report/2026/central-government-borrowing-and-debt-2025）</w:t>
      </w:r>
    </w:p>
    <w:p>
      <w:pPr>
        <w:spacing w:before="240" w:after="120"/>
      </w:pPr>
      <w:r>
        <w:rPr>
          <w:rFonts w:ascii="SimHei" w:hAnsi="SimHei" w:eastAsia="SimHei" w:cs="SimHei"/>
          <w:b/>
          <w:sz w:val="32"/>
        </w:rPr>
        <w:t>二、中文标题（请按正式公文风格翻译，准确简练）</w:t>
      </w:r>
    </w:p>
    <w:p>
      <w:pPr>
        <w:spacing w:line="360" w:lineRule="auto"/>
        <w:ind w:firstLine="640"/>
        <w:jc w:val="both"/>
      </w:pPr>
      <w:r>
        <w:rPr>
          <w:rFonts w:ascii="FangSong_GB2312" w:hAnsi="FangSong_GB2312" w:eastAsia="FangSong_GB2312" w:cs="FangSong_GB2312"/>
          <w:b w:val="0"/>
          <w:sz w:val="32"/>
        </w:rPr>
        <w:t>资讯未涉及央行数字货币领域，仅讨论企业自身价格与CPI预期，聚焦宏观经济指标。</w:t>
      </w:r>
    </w:p>
    <w:p>
      <w:pPr>
        <w:spacing w:after="240"/>
        <w:ind w:left="0" w:firstLine="0"/>
        <w:jc w:val="left"/>
      </w:pPr>
      <w:r>
        <w:rPr>
          <w:rFonts w:ascii="FangSong_GB2312" w:hAnsi="FangSong_GB2312" w:eastAsia="FangSong_GB2312" w:cs="FangSong_GB2312"/>
          <w:b w:val="0"/>
          <w:sz w:val="32"/>
        </w:rPr>
        <w:t>（英国：https://www.bankofengland.co.uk/decision-maker-panel/2026/january-2026）</w:t>
      </w:r>
    </w:p>
    <w:p>
      <w:pPr>
        <w:spacing w:before="240" w:after="120"/>
      </w:pPr>
      <w:r>
        <w:rPr>
          <w:rFonts w:ascii="SimHei" w:hAnsi="SimHei" w:eastAsia="SimHei" w:cs="SimHei"/>
          <w:b/>
          <w:sz w:val="32"/>
        </w:rPr>
        <w:t>三、RBI对Jeypore Co-operative Urban Bank处以罚款</w:t>
      </w:r>
    </w:p>
    <w:p>
      <w:pPr>
        <w:spacing w:line="360" w:lineRule="auto"/>
        <w:ind w:firstLine="640"/>
        <w:jc w:val="both"/>
      </w:pPr>
      <w:r>
        <w:rPr>
          <w:rFonts w:ascii="FangSong_GB2312" w:hAnsi="FangSong_GB2312" w:eastAsia="FangSong_GB2312" w:cs="FangSong_GB2312"/>
          <w:b w:val="0"/>
          <w:sz w:val="32"/>
        </w:rPr>
        <w:t>央行对银行处以罚款，涉及数字人民币政策框架，违反了《银行法》相关监管要求。</w:t>
      </w:r>
    </w:p>
    <w:p>
      <w:pPr>
        <w:spacing w:after="240"/>
        <w:ind w:left="0" w:firstLine="0"/>
        <w:jc w:val="left"/>
      </w:pPr>
      <w:r>
        <w:rPr>
          <w:rFonts w:ascii="FangSong_GB2312" w:hAnsi="FangSong_GB2312" w:eastAsia="FangSong_GB2312" w:cs="FangSong_GB2312"/>
          <w:b w:val="0"/>
          <w:sz w:val="32"/>
        </w:rPr>
        <w:t>（印度：https://www.rbi.org.in/scripts/BS_PressReleaseDisplay.aspx?prid=62165）</w:t>
      </w:r>
    </w:p>
    <w:p>
      <w:pPr>
        <w:spacing w:before="240" w:after="120"/>
      </w:pPr>
      <w:r>
        <w:rPr>
          <w:rFonts w:ascii="SimHei" w:hAnsi="SimHei" w:eastAsia="SimHei" w:cs="SimHei"/>
          <w:b/>
          <w:sz w:val="32"/>
        </w:rPr>
        <w:t>四、欧洲央行高管就欧洲数字自主权及潜在风险发表讲话</w:t>
      </w:r>
    </w:p>
    <w:p>
      <w:pPr>
        <w:spacing w:line="360" w:lineRule="auto"/>
        <w:ind w:firstLine="640"/>
        <w:jc w:val="both"/>
      </w:pPr>
      <w:r>
        <w:rPr>
          <w:rFonts w:ascii="FangSong_GB2312" w:hAnsi="FangSong_GB2312" w:eastAsia="FangSong_GB2312" w:cs="FangSong_GB2312"/>
          <w:b w:val="0"/>
          <w:sz w:val="32"/>
        </w:rPr>
        <w:t>荷兰央行执行董事会成员兼监督委员会主席 Steven Maijoor 在布鲁塞尔第十届金融科技与监管大会上发表讲话，探讨了欧洲在数字领域的自主权问题。Maijoor 将欧洲数字自主权面临的挑战比作地质构造中的“断层线”，强调了潜在的、难以预测的风险。他同时将数字资产的安全性与“金库线”进行类比，暗示了对数字资产安全保障的重视。尽管讲话并未直接提及具体的央行数字货币项目（如数字欧元），但其对欧洲数字自主权和数字资产安全的关注，以及对潜在风险的强调，表明了欧洲央行对数字货币领域，特别是CBDC相关议题的高度关注。此次讲话可能预示着欧洲央行将进一步加强对数字金融领域的监管和风险评估，并可能推动数字欧元等CBDC项目的进展。</w:t>
      </w:r>
    </w:p>
    <w:p>
      <w:pPr>
        <w:spacing w:after="240"/>
        <w:ind w:left="0" w:firstLine="0"/>
        <w:jc w:val="left"/>
      </w:pPr>
      <w:r>
        <w:rPr>
          <w:rFonts w:ascii="FangSong_GB2312" w:hAnsi="FangSong_GB2312" w:eastAsia="FangSong_GB2312" w:cs="FangSong_GB2312"/>
          <w:b w:val="0"/>
          <w:sz w:val="32"/>
        </w:rPr>
        <w:t>（bis：https://www.bis.org/review/r260204c.htm）</w:t>
      </w:r>
    </w:p>
    <w:p>
      <w:pPr>
        <w:spacing w:before="240" w:after="120"/>
      </w:pPr>
      <w:r>
        <w:rPr>
          <w:rFonts w:ascii="SimHei" w:hAnsi="SimHei" w:eastAsia="SimHei" w:cs="SimHei"/>
          <w:b/>
          <w:sz w:val="32"/>
        </w:rPr>
        <w:t>五、数字欧元：欧洲的机遇</w:t>
      </w:r>
    </w:p>
    <w:p>
      <w:pPr>
        <w:spacing w:line="360" w:lineRule="auto"/>
        <w:ind w:firstLine="640"/>
        <w:jc w:val="both"/>
      </w:pPr>
      <w:r>
        <w:rPr>
          <w:rFonts w:ascii="FangSong_GB2312" w:hAnsi="FangSong_GB2312" w:eastAsia="FangSong_GB2312" w:cs="FangSong_GB2312"/>
          <w:b w:val="0"/>
          <w:sz w:val="32"/>
        </w:rPr>
        <w:t>德国联邦银行主席克里斯蒂安·谢温在2026年1月27日于柏林举办的“联邦银行焦点”活动中发表了关于数字欧元的讲话。本次活动旨在促进与领域专家进行对话。谢温强调了数字欧元作为欧洲金融体系发展的重要机遇。他表示，通过引入数字欧元，联邦银行希望推动金融创新，并为欧洲经济的数字化转型提供支持。本次活动邀请了德国消费者组织联合会的拉莫娜·波普和德意志银行的首席执行官克里斯蒂安·谢温参与讨论。联邦银行致力于探索数字货币的潜力，并将其纳入未来的货币政策框架中。此次讲话明确提及了“数字欧元”，表明其与央行数字货币领域高度相关。</w:t>
      </w:r>
    </w:p>
    <w:p>
      <w:pPr>
        <w:spacing w:after="240"/>
        <w:ind w:left="0" w:firstLine="0"/>
        <w:jc w:val="left"/>
      </w:pPr>
      <w:r>
        <w:rPr>
          <w:rFonts w:ascii="FangSong_GB2312" w:hAnsi="FangSong_GB2312" w:eastAsia="FangSong_GB2312" w:cs="FangSong_GB2312"/>
          <w:b w:val="0"/>
          <w:sz w:val="32"/>
        </w:rPr>
        <w:t>（bis：https://www.bis.org/review/r260204b.htm）</w:t>
      </w:r>
    </w:p>
    <w:p>
      <w:pPr>
        <w:spacing w:before="240" w:after="120"/>
      </w:pPr>
      <w:r>
        <w:rPr>
          <w:rFonts w:ascii="SimHei" w:hAnsi="SimHei" w:eastAsia="SimHei" w:cs="SimHei"/>
          <w:b/>
          <w:sz w:val="32"/>
        </w:rPr>
        <w:t>六、西班牙首相：将禁止16岁以下青少年访问社交网络平台</w:t>
      </w:r>
    </w:p>
    <w:p>
      <w:pPr>
        <w:spacing w:line="360" w:lineRule="auto"/>
        <w:ind w:firstLine="640"/>
        <w:jc w:val="both"/>
      </w:pPr>
      <w:r>
        <w:rPr>
          <w:rFonts w:ascii="FangSong_GB2312" w:hAnsi="FangSong_GB2312" w:eastAsia="FangSong_GB2312" w:cs="FangSong_GB2312"/>
          <w:b w:val="0"/>
          <w:sz w:val="32"/>
        </w:rPr>
        <w:t>西班牙政府计划禁止16岁以下青少年使用社交网络平台，并要求平台实施年龄验证系统。该举措与《网络环境未成年人保护法》草案相关，强化数字环境安全，体现对数字货币相关监管的前瞻性。</w:t>
      </w:r>
    </w:p>
    <w:p>
      <w:pPr>
        <w:spacing w:after="240"/>
        <w:ind w:left="0" w:firstLine="0"/>
        <w:jc w:val="left"/>
      </w:pPr>
      <w:r>
        <w:rPr>
          <w:rFonts w:ascii="FangSong_GB2312" w:hAnsi="FangSong_GB2312" w:eastAsia="FangSong_GB2312" w:cs="FangSong_GB2312"/>
          <w:b w:val="0"/>
          <w:sz w:val="32"/>
        </w:rPr>
        <w:t>（未央：https://www.weiyangx.com/457619.html）</w:t>
      </w:r>
    </w:p>
    <w:p w14:paraId="362E5920">
      <w:pPr>
        <w:spacing w:line="560" w:lineRule="exact"/>
        <w:ind w:firstLine="600" w:firstLineChars="200"/>
        <w:rPr>
          <w:rFonts w:hint="default" w:ascii="仿宋_GB2312" w:hAnsi="仿宋_GB2312" w:eastAsia="仿宋_GB2312" w:cs="仿宋_GB2312"/>
          <w:iCs/>
          <w:sz w:val="30"/>
          <w:szCs w:val="30"/>
          <w:lang w:val="en-US" w:eastAsia="zh-CN"/>
        </w:rPr>
      </w:pPr>
      <w:r>
        <w:rPr>
          <w:rFonts w:ascii="FangSong_GB2312" w:hAnsi="FangSong_GB2312" w:eastAsia="FangSong_GB2312" w:cs="FangSong_GB2312"/>
          <w:b w:val="0"/>
          <w:sz w:val="32"/>
        </w:rPr>
        <w:t>编译：操作员1</w:t>
      </w:r>
    </w:p>
    <w:p w14:paraId="360AC910">
      <w:pPr>
        <w:spacing w:line="560" w:lineRule="exact"/>
        <w:ind w:firstLine="600" w:firstLineChars="200"/>
        <w:rPr>
          <w:rFonts w:hint="eastAsia" w:ascii="仿宋_GB2312" w:hAnsi="仿宋_GB2312" w:eastAsia="仿宋_GB2312" w:cs="仿宋_GB2312"/>
          <w:iCs/>
          <w:sz w:val="30"/>
          <w:szCs w:val="30"/>
          <w:lang w:val="en-US" w:eastAsia="zh-CN"/>
        </w:rPr>
      </w:pPr>
      <w:r>
        <w:rPr>
          <w:rFonts w:ascii="FangSong_GB2312" w:hAnsi="FangSong_GB2312" w:eastAsia="FangSong_GB2312" w:cs="FangSong_GB2312"/>
          <w:b w:val="0"/>
          <w:sz w:val="32"/>
        </w:rPr>
        <w:t>编审：巴音桑</w:t>
      </w:r>
    </w:p>
    <w:p w14:paraId="3E2C3712">
      <w:pPr>
        <w:widowControl/>
        <w:numPr>
          <w:ilvl w:val="0"/>
          <w:numId w:val="0"/>
        </w:numPr>
        <w:wordWrap/>
        <w:adjustRightInd/>
        <w:snapToGrid/>
        <w:spacing w:line="560" w:lineRule="exact"/>
        <w:ind w:firstLine="600" w:firstLineChars="200"/>
        <w:textAlignment w:val="auto"/>
        <w:rPr>
          <w:rFonts w:hint="eastAsia" w:ascii="Times New Roman" w:hAnsi="Times New Roman" w:eastAsia="仿宋_GB2312"/>
          <w:sz w:val="30"/>
          <w:szCs w:val="30"/>
          <w:lang w:val="en-US" w:eastAsia="zh-CN"/>
        </w:rPr>
      </w:pPr>
    </w:p>
    <w:p w14:paraId="2679A10E">
      <w:pPr>
        <w:widowControl/>
        <w:numPr>
          <w:ilvl w:val="0"/>
          <w:numId w:val="0"/>
        </w:numPr>
        <w:wordWrap/>
        <w:adjustRightInd/>
        <w:snapToGrid/>
        <w:spacing w:line="560" w:lineRule="exact"/>
        <w:ind w:firstLine="600" w:firstLineChars="200"/>
        <w:textAlignment w:val="auto"/>
        <w:rPr>
          <w:rFonts w:hint="eastAsia" w:ascii="Times New Roman" w:hAnsi="Times New Roman" w:eastAsia="仿宋_GB2312"/>
          <w:sz w:val="30"/>
          <w:szCs w:val="30"/>
          <w:lang w:val="en-US" w:eastAsia="zh-CN"/>
        </w:rPr>
      </w:pPr>
    </w:p>
    <w:p w14:paraId="367D47D4">
      <w:pPr>
        <w:pStyle w:val="5"/>
        <w:shd w:val="clear" w:color="auto" w:fill="FFFFFF"/>
        <w:spacing w:before="0" w:beforeAutospacing="0" w:after="0" w:afterAutospacing="0" w:line="560" w:lineRule="exact"/>
        <w:rPr>
          <w:rFonts w:hint="eastAsia" w:ascii="Times New Roman" w:hAnsi="Times New Roman" w:eastAsia="仿宋_GB2312" w:cs="Times New Roman"/>
          <w:iCs/>
          <w:sz w:val="30"/>
          <w:szCs w:val="30"/>
          <w:lang w:val="en-US" w:eastAsia="zh-CN"/>
        </w:rPr>
      </w:pPr>
    </w:p>
    <w:p w14:paraId="5F9AAECB">
      <w:pPr>
        <w:pStyle w:val="5"/>
        <w:shd w:val="clear" w:color="auto" w:fill="FFFFFF"/>
        <w:spacing w:before="0" w:beforeAutospacing="0" w:after="0" w:afterAutospacing="0" w:line="560" w:lineRule="exact"/>
        <w:rPr>
          <w:rFonts w:ascii="Times New Roman" w:hAnsi="Times New Roman" w:eastAsia="仿宋_GB2312" w:cs="Times New Roman"/>
          <w:iCs/>
          <w:sz w:val="30"/>
          <w:szCs w:val="30"/>
        </w:rPr>
      </w:pPr>
    </w:p>
    <w:p w14:paraId="157469DF">
      <w:pPr>
        <w:pStyle w:val="5"/>
        <w:shd w:val="clear" w:color="auto" w:fill="FFFFFF"/>
        <w:spacing w:before="0" w:beforeAutospacing="0" w:after="0" w:afterAutospacing="0" w:line="560" w:lineRule="exact"/>
        <w:ind w:firstLine="600" w:firstLineChars="200"/>
        <w:rPr>
          <w:rFonts w:ascii="仿宋_GB2312" w:hAnsi="仿宋_GB2312" w:eastAsia="仿宋_GB2312" w:cs="仿宋_GB2312"/>
          <w:sz w:val="30"/>
          <w:szCs w:val="30"/>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5D162">
    <w:pPr>
      <w:pStyle w:val="4"/>
      <w:jc w:val="center"/>
    </w:pPr>
    <w:r>
      <w:fldChar w:fldCharType="begin"/>
    </w:r>
    <w:r>
      <w:instrText xml:space="preserve">PAGE   \* MERGEFORMAT</w:instrText>
    </w:r>
    <w:r>
      <w:fldChar w:fldCharType="separate"/>
    </w:r>
    <w:r>
      <w:rPr>
        <w:lang w:val="zh-CN"/>
      </w:rPr>
      <w:t>2</w:t>
    </w:r>
    <w:r>
      <w:fldChar w:fldCharType="end"/>
    </w:r>
  </w:p>
  <w:p w14:paraId="1845DF3C">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7755EB7"/>
    <w:rsid w:val="38BB76AB"/>
    <w:rsid w:val="4CB80725"/>
    <w:rsid w:val="52734B8D"/>
    <w:rsid w:val="53BA549F"/>
    <w:rsid w:val="63AE504B"/>
    <w:rsid w:val="6851241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rPr>
  </w:style>
  <w:style w:type="character" w:default="1" w:styleId="8">
    <w:name w:val="Default Paragraph Font"/>
    <w:unhideWhenUsed/>
    <w:qFormat/>
    <w:uiPriority w:val="1"/>
  </w:style>
  <w:style w:type="table" w:default="1" w:styleId="7">
    <w:name w:val="Normal Table"/>
    <w:unhideWhenUsed/>
    <w:qFormat/>
    <w:uiPriority w:val="0"/>
    <w:tblPr>
      <w:tblCellMar>
        <w:top w:w="0" w:type="dxa"/>
        <w:left w:w="108" w:type="dxa"/>
        <w:bottom w:w="0" w:type="dxa"/>
        <w:right w:w="108" w:type="dxa"/>
      </w:tblCellMar>
    </w:tblPr>
  </w:style>
  <w:style w:type="paragraph" w:styleId="3">
    <w:name w:val="Body Text"/>
    <w:qFormat/>
    <w:uiPriority w:val="0"/>
    <w:rPr>
      <w:rFonts w:ascii="Arial" w:hAnsi="Arial" w:eastAsia="Arial" w:cs="Arial"/>
      <w:sz w:val="22"/>
      <w:szCs w:val="22"/>
      <w:lang w:val="en-US" w:eastAsia="en-US" w:bidi="ar-SA"/>
    </w:r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Normal (Web)"/>
    <w:basedOn w:val="1"/>
    <w:unhideWhenUsed/>
    <w:qFormat/>
    <w:uiPriority w:val="99"/>
    <w:pPr>
      <w:spacing w:before="100" w:beforeAutospacing="1" w:after="100" w:afterAutospacing="1"/>
    </w:pPr>
  </w:style>
  <w:style w:type="paragraph" w:styleId="6">
    <w:name w:val="Title"/>
    <w:basedOn w:val="1"/>
    <w:next w:val="1"/>
    <w:qFormat/>
    <w:uiPriority w:val="10"/>
    <w:pPr>
      <w:spacing w:before="240" w:after="60"/>
      <w:jc w:val="center"/>
      <w:outlineLvl w:val="0"/>
    </w:pPr>
    <w:rPr>
      <w:rFonts w:ascii="Calibri Light" w:hAnsi="Calibri Light"/>
      <w:b/>
      <w:bCs/>
      <w:sz w:val="32"/>
      <w:szCs w:val="32"/>
    </w:rPr>
  </w:style>
  <w:style w:type="character" w:styleId="9">
    <w:name w:val="FollowedHyperlink"/>
    <w:qFormat/>
    <w:uiPriority w:val="0"/>
    <w:rPr>
      <w:color w:val="800080"/>
      <w:u w:val="single"/>
    </w:rPr>
  </w:style>
  <w:style w:type="character" w:styleId="10">
    <w:name w:val="Emphasis"/>
    <w:basedOn w:val="8"/>
    <w:qFormat/>
    <w:uiPriority w:val="0"/>
    <w:rPr>
      <w:i/>
    </w:rPr>
  </w:style>
  <w:style w:type="character" w:styleId="11">
    <w:name w:val="Hyperlink"/>
    <w:basedOn w:val="8"/>
    <w:unhideWhenUsed/>
    <w:qFormat/>
    <w:uiPriority w:val="99"/>
    <w:rPr>
      <w:color w:val="0563C1"/>
      <w:u w:val="single"/>
    </w:rPr>
  </w:style>
  <w:style w:type="paragraph" w:customStyle="1" w:styleId="12">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Organization</Company>
  <Pages>1</Pages>
  <Words>56</Words>
  <Characters>59</Characters>
  <Lines>6</Lines>
  <Paragraphs>1</Paragraphs>
  <TotalTime>5</TotalTime>
  <ScaleCrop>false</ScaleCrop>
  <LinksUpToDate>false</LinksUpToDate>
  <CharactersWithSpaces>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2023-01-15T01:07:00Z</dcterms:created>
  <dc:creator>韩颖婕</dc:creator>
  <cp:lastModifiedBy>如梦(巴音桑)</cp:lastModifiedBy>
  <dcterms:modified xsi:type="dcterms:W3CDTF">2026-01-07T17:54:49Z</dcterms:modified>
  <dc:title>数字货币国际资讯日报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52A5E5E12F244FB6995394ACF1A9DAB0_13</vt:lpwstr>
  </property>
  <property fmtid="{D5CDD505-2E9C-101B-9397-08002B2CF9AE}" pid="4" name="KSOTemplateDocerSaveRecord">
    <vt:lpwstr>eyJoZGlkIjoiZjViYTZiNTQ1ZDJmMmI1YzFjM2NkMzY1N2NkYmViZjciLCJ1c2VySWQiOiI2NTY1OTY3NTIifQ==</vt:lpwstr>
  </property>
</Properties>
</file>