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9FC51">
      <w:pPr>
        <w:jc w:val="center"/>
        <w:rPr>
          <w:rFonts w:ascii="华文隶书" w:hAnsi="华文隶书" w:eastAsia="华文隶书"/>
          <w:i/>
          <w:iCs/>
          <w:sz w:val="88"/>
          <w:szCs w:val="88"/>
        </w:rPr>
      </w:pPr>
      <w:r>
        <w:rPr>
          <w:rFonts w:hint="eastAsia" w:eastAsia="华文行楷"/>
          <w:iCs/>
          <w:color w:val="FF0000"/>
          <w:spacing w:val="-20"/>
          <w:w w:val="90"/>
          <w:sz w:val="88"/>
          <w:szCs w:val="88"/>
        </w:rPr>
        <w:t>数字货币国际资讯日报</w:t>
      </w:r>
    </w:p>
    <w:p w14:paraId="123E26DE">
      <w:pPr>
        <w:pBdr>
          <w:bottom w:val="single" w:color="FF0000" w:sz="12" w:space="1"/>
        </w:pBdr>
        <w:rPr>
          <w:rFonts w:ascii="Times New Roman" w:hAnsi="Times New Roman" w:eastAsia="楷体_GB2312" w:cs="Times New Roman"/>
          <w:iCs/>
          <w:sz w:val="30"/>
        </w:rPr>
      </w:pPr>
    </w:p>
    <w:p w14:paraId="7FC78509">
      <w:pPr>
        <w:pBdr>
          <w:bottom w:val="single" w:color="FF0000" w:sz="12" w:space="1"/>
        </w:pBdr>
        <w:rPr>
          <w:rFonts w:hint="eastAsia" w:ascii="黑体" w:hAnsi="黑体" w:eastAsia="黑体" w:cs="黑体"/>
          <w:b w:val="0"/>
          <w:bCs w:val="0"/>
          <w:sz w:val="30"/>
          <w:szCs w:val="30"/>
          <w:lang w:val="en-US" w:eastAsia="zh-CN"/>
        </w:rPr>
      </w:pPr>
      <w:r>
        <w:rPr>
          <w:rFonts w:ascii="FangSong_GB2312" w:hAnsi="FangSong_GB2312" w:eastAsia="FangSong_GB2312" w:cs="FangSong_GB2312"/>
          <w:b w:val="0"/>
          <w:sz w:val="32"/>
        </w:rPr>
        <w:t>新疆维吾尔自治区分行                 2026年1月12日</w:t>
      </w:r>
    </w:p>
    <w:bookmarkEnd w:id="0"/>
    <w:p>
      <w:pPr>
        <w:spacing w:before="240" w:after="120"/>
      </w:pPr>
      <w:r>
        <w:rPr>
          <w:rFonts w:ascii="SimHei" w:hAnsi="SimHei" w:eastAsia="SimHei" w:cs="SimHei"/>
          <w:b/>
          <w:sz w:val="32"/>
        </w:rPr>
        <w:t>一、鲍威尔发表讲话：美联储主席杰罗姆·H·鲍威尔的声明</w:t>
      </w:r>
    </w:p>
    <w:p>
      <w:pPr>
        <w:spacing w:line="360" w:lineRule="auto"/>
        <w:ind w:firstLine="640"/>
        <w:jc w:val="both"/>
      </w:pPr>
      <w:r>
        <w:rPr>
          <w:rFonts w:ascii="FangSong_GB2312" w:hAnsi="FangSong_GB2312" w:eastAsia="FangSong_GB2312" w:cs="FangSong_GB2312"/>
          <w:b w:val="0"/>
          <w:sz w:val="32"/>
        </w:rPr>
        <w:t>2026年1月11日，美联储主席杰罗姆·H·鲍威尔发表讲话。周五，美国司法部向美联储发出了大陪审团传票，涉及他去年6月在参议院银行委员会上的证词。该证词涉及一项多年来的联邦储备办公楼翻新项目。他深尊重法治和民主制度中的问责制。没有人——尤其是美联储主席——可以凌驾于法律之上。但这一前所未有的行动应被视为...</w:t>
      </w:r>
    </w:p>
    <w:p>
      <w:pPr>
        <w:spacing w:after="240"/>
        <w:ind w:left="0" w:firstLine="0"/>
        <w:jc w:val="left"/>
      </w:pPr>
      <w:r>
        <w:rPr>
          <w:rFonts w:ascii="FangSong_GB2312" w:hAnsi="FangSong_GB2312" w:eastAsia="FangSong_GB2312" w:cs="FangSong_GB2312"/>
          <w:b w:val="0"/>
          <w:sz w:val="32"/>
        </w:rPr>
        <w:t>（美国：https://www.federalreserve.gov/newsevents/speech/powell20260111a.htm）</w:t>
      </w:r>
    </w:p>
    <w:p>
      <w:pPr>
        <w:spacing w:before="240" w:after="120"/>
      </w:pPr>
      <w:r>
        <w:rPr>
          <w:rFonts w:ascii="SimHei" w:hAnsi="SimHei" w:eastAsia="SimHei" w:cs="SimHei"/>
          <w:b/>
          <w:sz w:val="32"/>
        </w:rPr>
        <w:t>二、2026年1月11日的货币市场运作</w:t>
      </w:r>
    </w:p>
    <w:p>
      <w:pPr>
        <w:spacing w:line="360" w:lineRule="auto"/>
        <w:ind w:firstLine="640"/>
        <w:jc w:val="both"/>
      </w:pPr>
      <w:r>
        <w:rPr>
          <w:rFonts w:ascii="FangSong_GB2312" w:hAnsi="FangSong_GB2312" w:eastAsia="FangSong_GB2312" w:cs="FangSong_GB2312"/>
          <w:b w:val="0"/>
          <w:sz w:val="32"/>
        </w:rPr>
        <w:t>本文总结了2026年1月11日的货币市场状况，包括不同类型的货币市场利率、操作细节以及印度储备银行的流动性管理措施。内容包括隔夜市场、定期市场以及流动性调节工具的使用情况。</w:t>
      </w:r>
    </w:p>
    <w:p>
      <w:pPr>
        <w:spacing w:after="240"/>
        <w:ind w:left="0" w:firstLine="0"/>
        <w:jc w:val="left"/>
      </w:pPr>
      <w:r>
        <w:rPr>
          <w:rFonts w:ascii="FangSong_GB2312" w:hAnsi="FangSong_GB2312" w:eastAsia="FangSong_GB2312" w:cs="FangSong_GB2312"/>
          <w:b w:val="0"/>
          <w:sz w:val="32"/>
        </w:rPr>
        <w:t>（印度：https://www.rbi.org.in/scripts/BS_PressReleaseDisplay.aspx?prid=62015）</w:t>
      </w:r>
    </w:p>
    <w:p>
      <w:pPr>
        <w:spacing w:before="240" w:after="120"/>
      </w:pPr>
      <w:r>
        <w:rPr>
          <w:rFonts w:ascii="SimHei" w:hAnsi="SimHei" w:eastAsia="SimHei" w:cs="SimHei"/>
          <w:b/>
          <w:sz w:val="32"/>
        </w:rPr>
        <w:t>三、2026年1月10日的货币市场运作情况</w:t>
      </w:r>
    </w:p>
    <w:p>
      <w:pPr>
        <w:spacing w:line="360" w:lineRule="auto"/>
        <w:ind w:firstLine="640"/>
        <w:jc w:val="both"/>
      </w:pPr>
      <w:r>
        <w:rPr>
          <w:rFonts w:ascii="FangSong_GB2312" w:hAnsi="FangSong_GB2312" w:eastAsia="FangSong_GB2312" w:cs="FangSong_GB2312"/>
          <w:b w:val="0"/>
          <w:sz w:val="32"/>
        </w:rPr>
        <w:t>本文总结了2026年1月10日的货币市场活动，包括隔夜市场、定期市场以及流动性调节工具的操作情况。其中，涵盖了各种类型的回购交易（如固定利率回购、逆回购）和流动性供应与吸收的详细数据。同时，还提到了印度储备银行（RBI）的货币政策操作和商业银行的现金储备状况。</w:t>
      </w:r>
    </w:p>
    <w:p>
      <w:pPr>
        <w:spacing w:after="240"/>
        <w:ind w:left="0" w:firstLine="0"/>
        <w:jc w:val="left"/>
      </w:pPr>
      <w:r>
        <w:rPr>
          <w:rFonts w:ascii="FangSong_GB2312" w:hAnsi="FangSong_GB2312" w:eastAsia="FangSong_GB2312" w:cs="FangSong_GB2312"/>
          <w:b w:val="0"/>
          <w:sz w:val="32"/>
        </w:rPr>
        <w:t>（印度：https://www.rbi.org.in/scripts/BS_PressReleaseDisplay.aspx?prid=62014）</w:t>
      </w:r>
    </w:p>
    <w:p>
      <w:pPr>
        <w:spacing w:before="240" w:after="120"/>
      </w:pPr>
      <w:r>
        <w:rPr>
          <w:rFonts w:ascii="SimHei" w:hAnsi="SimHei" w:eastAsia="SimHei" w:cs="SimHei"/>
          <w:b/>
          <w:sz w:val="32"/>
        </w:rPr>
        <w:t>四、2026年1月9日的货币市场操作</w:t>
      </w:r>
    </w:p>
    <w:p>
      <w:pPr>
        <w:spacing w:line="360" w:lineRule="auto"/>
        <w:ind w:firstLine="640"/>
        <w:jc w:val="both"/>
      </w:pPr>
      <w:r>
        <w:rPr>
          <w:rFonts w:ascii="FangSong_GB2312" w:hAnsi="FangSong_GB2312" w:eastAsia="FangSong_GB2312" w:cs="FangSong_GB2312"/>
          <w:b w:val="0"/>
          <w:sz w:val="32"/>
        </w:rPr>
        <w:t>本文概述了截至2026年1月9日的货币市场活动，包括不同类型的货币市场交易利率、交易量以及印度储备银行（RBI）的各类操作。重点介绍了隔夜市场、定期市场以及流动性调节机制的运作情况。</w:t>
      </w:r>
    </w:p>
    <w:p>
      <w:pPr>
        <w:spacing w:after="240"/>
        <w:ind w:left="0" w:firstLine="0"/>
        <w:jc w:val="left"/>
      </w:pPr>
      <w:r>
        <w:rPr>
          <w:rFonts w:ascii="FangSong_GB2312" w:hAnsi="FangSong_GB2312" w:eastAsia="FangSong_GB2312" w:cs="FangSong_GB2312"/>
          <w:b w:val="0"/>
          <w:sz w:val="32"/>
        </w:rPr>
        <w:t>（印度：https://www.rbi.org.in/scripts/BS_PressReleaseDisplay.aspx?prid=62013）</w:t>
      </w:r>
    </w:p>
    <w:p>
      <w:pPr>
        <w:spacing w:before="240" w:after="120"/>
      </w:pPr>
      <w:r>
        <w:rPr>
          <w:rFonts w:ascii="SimHei" w:hAnsi="SimHei" w:eastAsia="SimHei" w:cs="SimHei"/>
          <w:b/>
          <w:sz w:val="32"/>
        </w:rPr>
        <w:t>五、黄仁勋：物理AI的ChatGPT时刻，快到了</w:t>
      </w:r>
    </w:p>
    <w:p>
      <w:pPr>
        <w:spacing w:line="360" w:lineRule="auto"/>
        <w:ind w:firstLine="640"/>
        <w:jc w:val="both"/>
      </w:pPr>
      <w:r>
        <w:rPr>
          <w:rFonts w:ascii="FangSong_GB2312" w:hAnsi="FangSong_GB2312" w:eastAsia="FangSong_GB2312" w:cs="FangSong_GB2312"/>
          <w:b w:val="0"/>
          <w:sz w:val="32"/>
        </w:rPr>
        <w:t>英伟达正处于一个充满矛盾的时期。尽管其市值达到了前所未有的高度，股价的波动对市场有着巨大影响，但它同时也是AI概念股中表现最强劲的公司之一，一个季度的营收和净利润可达数百亿美元，毛利率高达70%。这解释了为什么在拉斯维加斯CES上，英伟达的每一次演讲都备受关注。黄仁勋在演讲中提到，计算机行业每10到15年会经历一次重大变革，从大型机到个人电脑，再到互联网、云计算和移动设备。然而，这次的情况不同，因为“两次平台迁移同时发生”：首先是AI的应用，用户将基于AI构建新的应用程序；其次是软件的开发、运行方式以及整个技术栈正在被重新定义。传统产业将把研发预算的一部分转向AI。过去十年中，BERT和Transformer等模型让AI变得实用，而2024年出现的Agentic AI则标志着一个重要的转折点，这类系统能够进行复杂的任务。黄仁勋对开源模型的集体进步感到尤为兴奋。</w:t>
      </w:r>
    </w:p>
    <w:p>
      <w:pPr>
        <w:spacing w:after="240"/>
        <w:ind w:left="0" w:firstLine="0"/>
        <w:jc w:val="left"/>
      </w:pPr>
      <w:r>
        <w:rPr>
          <w:rFonts w:ascii="FangSong_GB2312" w:hAnsi="FangSong_GB2312" w:eastAsia="FangSong_GB2312" w:cs="FangSong_GB2312"/>
          <w:b w:val="0"/>
          <w:sz w:val="32"/>
        </w:rPr>
        <w:t>（未央：https://www.weiyangx.com/456378.html）</w:t>
      </w:r>
    </w:p>
    <w:p>
      <w:pPr>
        <w:spacing w:before="240" w:after="120"/>
      </w:pPr>
      <w:r>
        <w:rPr>
          <w:rFonts w:ascii="SimHei" w:hAnsi="SimHei" w:eastAsia="SimHei" w:cs="SimHei"/>
          <w:b/>
          <w:sz w:val="32"/>
        </w:rPr>
        <w:t>六、全球绿色经济规模已达5万亿，我们该如何把握这一增长机遇？</w:t>
      </w:r>
    </w:p>
    <w:p>
      <w:pPr>
        <w:spacing w:line="360" w:lineRule="auto"/>
        <w:ind w:firstLine="640"/>
        <w:jc w:val="both"/>
      </w:pPr>
      <w:r>
        <w:rPr>
          <w:rFonts w:ascii="FangSong_GB2312" w:hAnsi="FangSong_GB2312" w:eastAsia="FangSong_GB2312" w:cs="FangSong_GB2312"/>
          <w:b w:val="0"/>
          <w:sz w:val="32"/>
        </w:rPr>
        <w:t>全球绿色经济时代已经到来。这个曾经被视为小众的领域如今已经发展成为一个价值5万亿美元的市场，正在重塑全球的产业结构、创新模式和资本流向。在过去十年中，它的增长速度仅次于科技行业，成为全球第二快的增长领域。尽管通货膨胀、贸易中断和地缘政治紧张局势分散了公众的注意力，绿色经济的增长势头依然强劲。报告《拥抱万亿美元的绿色经济市场：首席执行官行动指南》强调了进入绿色市场并在此立足所需克服的挑战，包括提升新兴解决方案的技术成熟度和成本效益、应对新的市场法规和合作伙伴关系，以及确保持续的融资渠道。报告还指出了绿色经济未来的增长将是不均衡的，取决于各地区的发展动态。</w:t>
      </w:r>
    </w:p>
    <w:p>
      <w:pPr>
        <w:spacing w:after="240"/>
        <w:ind w:left="0" w:firstLine="0"/>
        <w:jc w:val="left"/>
      </w:pPr>
      <w:r>
        <w:rPr>
          <w:rFonts w:ascii="FangSong_GB2312" w:hAnsi="FangSong_GB2312" w:eastAsia="FangSong_GB2312" w:cs="FangSong_GB2312"/>
          <w:b w:val="0"/>
          <w:sz w:val="32"/>
        </w:rPr>
        <w:t>（未央：https://www.weiyangx.com/456371.html）</w:t>
      </w:r>
    </w:p>
    <w:p>
      <w:pPr>
        <w:spacing w:before="240" w:after="120"/>
      </w:pPr>
      <w:r>
        <w:rPr>
          <w:rFonts w:ascii="SimHei" w:hAnsi="SimHei" w:eastAsia="SimHei" w:cs="SimHei"/>
          <w:b/>
          <w:sz w:val="32"/>
        </w:rPr>
        <w:t>七、特朗普提议将信用卡利率上限设为10%，预计1月20日生效</w:t>
      </w:r>
    </w:p>
    <w:p>
      <w:pPr>
        <w:spacing w:line="360" w:lineRule="auto"/>
        <w:ind w:firstLine="640"/>
        <w:jc w:val="both"/>
      </w:pPr>
      <w:r>
        <w:rPr>
          <w:rFonts w:ascii="FangSong_GB2312" w:hAnsi="FangSong_GB2312" w:eastAsia="FangSong_GB2312" w:cs="FangSong_GB2312"/>
          <w:b w:val="0"/>
          <w:sz w:val="32"/>
        </w:rPr>
        <w:t>2026年1月9日，美国总统特朗普在Truth Social平台上提议将信用卡利率上限设定为10%，有效期一年，自其就职周年日（1月20日）起生效，以遏制银行向公众收取高额利息的行为。然而，该提议的具体实施细节尚未明确。多个银行业协会反对这一提议，认为10%的利率上限将限制信贷供应，迫使消费者转向成本更高、监管较少的替代渠道，从而损害依赖信用卡的家庭和小企业主的利益。此前，参议员桑德斯和霍利也曾提出类似法案，但引发行业争议。特朗普的提议正值美联储数据显示消费者信贷增长放缓的背景下。</w:t>
      </w:r>
    </w:p>
    <w:p>
      <w:pPr>
        <w:spacing w:after="240"/>
        <w:ind w:left="0" w:firstLine="0"/>
        <w:jc w:val="left"/>
      </w:pPr>
      <w:r>
        <w:rPr>
          <w:rFonts w:ascii="FangSong_GB2312" w:hAnsi="FangSong_GB2312" w:eastAsia="FangSong_GB2312" w:cs="FangSong_GB2312"/>
          <w:b w:val="0"/>
          <w:sz w:val="32"/>
        </w:rPr>
        <w:t>（未央：https://www.weiyangx.com/456369.html）</w:t>
      </w:r>
    </w:p>
    <w:p>
      <w:pPr>
        <w:spacing w:before="240" w:after="120"/>
      </w:pPr>
      <w:r>
        <w:rPr>
          <w:rFonts w:ascii="SimHei" w:hAnsi="SimHei" w:eastAsia="SimHei" w:cs="SimHei"/>
          <w:b/>
          <w:sz w:val="32"/>
        </w:rPr>
        <w:t>八、美国参议院银行委员会将审议数字资产市场结构法案</w:t>
      </w:r>
    </w:p>
    <w:p>
      <w:pPr>
        <w:spacing w:line="360" w:lineRule="auto"/>
        <w:ind w:firstLine="640"/>
        <w:jc w:val="both"/>
      </w:pPr>
      <w:r>
        <w:rPr>
          <w:rFonts w:ascii="FangSong_GB2312" w:hAnsi="FangSong_GB2312" w:eastAsia="FangSong_GB2312" w:cs="FangSong_GB2312"/>
          <w:b w:val="0"/>
          <w:sz w:val="32"/>
        </w:rPr>
        <w:t>美国参议院银行、住房和城市事务委员会主席宣布，将于2026年1月15日召开会议，讨论和修改一项全面的数字资产市场结构立法。此举标志着美国在为加密货币和区块链技术建立明确监管准则方面迈出了重要一步。该立法旨在厘清美国证券交易委员会（SEC）与商品期货交易委员会（CFTC）的职责，根据数字资产的不同特性将其分类为‘商品’或‘证券’。支持者认为，明确的监管将保护消费者和投资者，促进创新，并维护国家安全。行业领袖对此反应积极，但批评者担心立法可能偏向加密行业利益，损害传统金融机构。</w:t>
      </w:r>
    </w:p>
    <w:p>
      <w:pPr>
        <w:spacing w:after="240"/>
        <w:ind w:left="0" w:firstLine="0"/>
        <w:jc w:val="left"/>
      </w:pPr>
      <w:r>
        <w:rPr>
          <w:rFonts w:ascii="FangSong_GB2312" w:hAnsi="FangSong_GB2312" w:eastAsia="FangSong_GB2312" w:cs="FangSong_GB2312"/>
          <w:b w:val="0"/>
          <w:sz w:val="32"/>
        </w:rPr>
        <w:t>（未央：https://www.weiyangx.com/456365.html）</w:t>
      </w:r>
    </w:p>
    <w:p>
      <w:pPr>
        <w:spacing w:before="240" w:after="120"/>
      </w:pPr>
      <w:r>
        <w:rPr>
          <w:rFonts w:ascii="SimHei" w:hAnsi="SimHei" w:eastAsia="SimHei" w:cs="SimHei"/>
          <w:b/>
          <w:sz w:val="32"/>
        </w:rPr>
        <w:t>九、美联储主席鲍威尔遭刑事调查</w:t>
      </w:r>
    </w:p>
    <w:p>
      <w:pPr>
        <w:spacing w:line="360" w:lineRule="auto"/>
        <w:ind w:firstLine="640"/>
        <w:jc w:val="both"/>
      </w:pPr>
      <w:r>
        <w:rPr>
          <w:rFonts w:ascii="FangSong_GB2312" w:hAnsi="FangSong_GB2312" w:eastAsia="FangSong_GB2312" w:cs="FangSong_GB2312"/>
          <w:b w:val="0"/>
          <w:sz w:val="32"/>
        </w:rPr>
        <w:t>据CCTV国际时讯援引《纽约时报》报道，美国哥伦比亚特区联邦检察官办公室已就美国联邦储备委员会华盛顿总部翻修相关事宜，对美联储主席鲍威尔启动刑事调查。</w:t>
      </w:r>
    </w:p>
    <w:p>
      <w:pPr>
        <w:spacing w:after="240"/>
        <w:ind w:left="0" w:firstLine="0"/>
        <w:jc w:val="left"/>
      </w:pPr>
      <w:r>
        <w:rPr>
          <w:rFonts w:ascii="FangSong_GB2312" w:hAnsi="FangSong_GB2312" w:eastAsia="FangSong_GB2312" w:cs="FangSong_GB2312"/>
          <w:b w:val="0"/>
          <w:sz w:val="32"/>
        </w:rPr>
        <w:t>（未央：https://www.weiyangx.com/456363.html）</w:t>
      </w:r>
    </w:p>
    <w:p>
      <w:pPr>
        <w:spacing w:before="240" w:after="120"/>
      </w:pPr>
      <w:r>
        <w:rPr>
          <w:rFonts w:ascii="SimHei" w:hAnsi="SimHei" w:eastAsia="SimHei" w:cs="SimHei"/>
          <w:b/>
          <w:sz w:val="32"/>
        </w:rPr>
        <w:t>十、盘点美国前十大金融科技软件开发公司</w:t>
      </w:r>
    </w:p>
    <w:p>
      <w:pPr>
        <w:spacing w:line="360" w:lineRule="auto"/>
        <w:ind w:firstLine="640"/>
        <w:jc w:val="both"/>
      </w:pPr>
      <w:r>
        <w:rPr>
          <w:rFonts w:ascii="FangSong_GB2312" w:hAnsi="FangSong_GB2312" w:eastAsia="FangSong_GB2312" w:cs="FangSong_GB2312"/>
          <w:b w:val="0"/>
          <w:sz w:val="32"/>
        </w:rPr>
        <w:t>本文介绍了美国市场十大顶尖的金融科技软件开发公司，这些公司在创新、技术专长和行业经验方面表现出色，能够为金融机构提供安全、可扩展的解决方案。随着区块链、人工智能（AI）和机器学习（ML）等技术的发展，对专业金融科技软件开发服务的需求持续增长。</w:t>
      </w:r>
    </w:p>
    <w:p>
      <w:pPr>
        <w:spacing w:after="240"/>
        <w:ind w:left="0" w:firstLine="0"/>
        <w:jc w:val="left"/>
      </w:pPr>
      <w:r>
        <w:rPr>
          <w:rFonts w:ascii="FangSong_GB2312" w:hAnsi="FangSong_GB2312" w:eastAsia="FangSong_GB2312" w:cs="FangSong_GB2312"/>
          <w:b w:val="0"/>
          <w:sz w:val="32"/>
        </w:rPr>
        <w:t>（未央：https://www.weiyangx.com/456360.html）</w:t>
      </w:r>
    </w:p>
    <w:p>
      <w:pPr>
        <w:spacing w:before="240" w:after="120"/>
      </w:pPr>
      <w:r>
        <w:rPr>
          <w:rFonts w:ascii="SimHei" w:hAnsi="SimHei"/>
          <w:b/>
          <w:sz w:val="32"/>
        </w:rPr>
        <w:t>十一、越南通过《人工智能法》，坚持人工智能治理以人为中心</w:t>
      </w:r>
    </w:p>
    <w:p>
      <w:pPr>
        <w:spacing w:line="360" w:lineRule="auto"/>
        <w:ind w:firstLine="640"/>
        <w:jc w:val="both"/>
      </w:pPr>
      <w:r>
        <w:rPr>
          <w:rFonts w:ascii="FangSong_GB2312" w:hAnsi="FangSong_GB2312" w:eastAsia="FangSong_GB2312" w:cs="FangSong_GB2312"/>
          <w:b w:val="0"/>
          <w:sz w:val="32"/>
        </w:rPr>
        <w:t>近日，越南第十五届国会第十次会议通过了《人工智能法》，该法律确立了以人为中心、伦理为基础、基于风险等级进行管理的原则，旨在平衡创新与风险控制，保护人权，增强数字信任，并为越南的人工智能发展制定可持续路径。越南科学技术部将依据国家人工智能伦理框架，制定技术标准和规范，为企业提供统一的标准，并用于监督、检测和合规认证。保护儿童和弱势群体是该法律的核心内容，明确禁止利用人工智能技术侵犯这些群体的权益。相关细节已在《国家人工智能伦理框架》中进一步细化，要求针对儿童的人工智能产品需满足更严格的安全标准。</w:t>
      </w:r>
    </w:p>
    <w:p>
      <w:pPr>
        <w:spacing w:after="240"/>
        <w:ind w:left="0" w:firstLine="0"/>
        <w:jc w:val="left"/>
      </w:pPr>
      <w:r>
        <w:rPr>
          <w:rFonts w:ascii="FangSong_GB2312" w:hAnsi="FangSong_GB2312" w:eastAsia="FangSong_GB2312" w:cs="FangSong_GB2312"/>
          <w:b w:val="0"/>
          <w:sz w:val="32"/>
        </w:rPr>
        <w:t>（未央：https://www.weiyangx.com/456357.html）</w:t>
      </w:r>
    </w:p>
    <w:p>
      <w:pPr>
        <w:spacing w:before="240" w:after="120"/>
      </w:pPr>
      <w:r>
        <w:rPr>
          <w:rFonts w:ascii="SimHei" w:hAnsi="SimHei"/>
          <w:b/>
          <w:sz w:val="32"/>
        </w:rPr>
        <w:t>十二、2025年12月零售销售调查：预计零售销售将持续增长</w:t>
      </w:r>
    </w:p>
    <w:p>
      <w:pPr>
        <w:spacing w:line="360" w:lineRule="auto"/>
        <w:ind w:firstLine="640"/>
        <w:jc w:val="both"/>
      </w:pPr>
      <w:r>
        <w:rPr>
          <w:rFonts w:ascii="FangSong_GB2312" w:hAnsi="FangSong_GB2312" w:eastAsia="FangSong_GB2312" w:cs="FangSong_GB2312"/>
          <w:b w:val="0"/>
          <w:sz w:val="32"/>
        </w:rPr>
        <w:t>根据最新的零售销售调查，零售商预计2025年12月的销售额将保持增长。受访者预测2025年12月实际销售指数（RSI）将同比增长4.4%，这一增长主要得益于零部件和配件、食品、饮料和烟草以及文化和娱乐用品等商品类别的强劲表现。按月来看，零售商预计12月零售销售额将环比增长4.0%，增速较上个月（1.5%）有所加快，其中信息和通信设备、文化和娱乐用品、其他家用设备以及食品、饮料和烟草等商品类别的需求因圣诞节和新年假期而显著增加。2025年11月，实际销售指数同比增长率为6.3%，高于前一个月的4.3%。</w:t>
      </w:r>
    </w:p>
    <w:p>
      <w:pPr>
        <w:spacing w:after="240"/>
        <w:ind w:left="0" w:firstLine="0"/>
        <w:jc w:val="left"/>
      </w:pPr>
      <w:r>
        <w:rPr>
          <w:rFonts w:ascii="FangSong_GB2312" w:hAnsi="FangSong_GB2312" w:eastAsia="FangSong_GB2312" w:cs="FangSong_GB2312"/>
          <w:b w:val="0"/>
          <w:sz w:val="32"/>
        </w:rPr>
        <w:t>（印度尼西亚：https://www.bi.go.id/en/publikasi/ruang-media/news-release/Pages/sp_280826.aspx）</w:t>
      </w:r>
    </w:p>
    <w:p w14:paraId="362E5920">
      <w:pPr>
        <w:spacing w:line="560" w:lineRule="exact"/>
        <w:ind w:firstLine="600" w:firstLineChars="200"/>
        <w:rPr>
          <w:rFonts w:hint="default" w:ascii="仿宋_GB2312" w:hAnsi="仿宋_GB2312" w:eastAsia="仿宋_GB2312" w:cs="仿宋_GB2312"/>
          <w:iCs/>
          <w:sz w:val="30"/>
          <w:szCs w:val="30"/>
          <w:lang w:val="en-US" w:eastAsia="zh-CN"/>
        </w:rPr>
      </w:pPr>
      <w:r>
        <w:rPr>
          <w:rFonts w:ascii="FangSong_GB2312" w:hAnsi="FangSong_GB2312" w:eastAsia="FangSong_GB2312" w:cs="FangSong_GB2312"/>
          <w:b w:val="0"/>
          <w:sz w:val="32"/>
        </w:rPr>
        <w:t>编译：操作员1</w:t>
      </w:r>
    </w:p>
    <w:p w14:paraId="360AC910">
      <w:pPr>
        <w:spacing w:line="560" w:lineRule="exact"/>
        <w:ind w:firstLine="600" w:firstLineChars="200"/>
        <w:rPr>
          <w:rFonts w:hint="eastAsia" w:ascii="仿宋_GB2312" w:hAnsi="仿宋_GB2312" w:eastAsia="仿宋_GB2312" w:cs="仿宋_GB2312"/>
          <w:iCs/>
          <w:sz w:val="30"/>
          <w:szCs w:val="30"/>
          <w:lang w:val="en-US" w:eastAsia="zh-CN"/>
        </w:rPr>
      </w:pPr>
      <w:r>
        <w:rPr>
          <w:rFonts w:ascii="FangSong_GB2312" w:hAnsi="FangSong_GB2312" w:eastAsia="FangSong_GB2312" w:cs="FangSong_GB2312"/>
          <w:b w:val="0"/>
          <w:sz w:val="32"/>
        </w:rPr>
        <w:t>编审：巴音桑</w:t>
      </w:r>
    </w:p>
    <w:p w14:paraId="3E2C3712">
      <w:pPr>
        <w:widowControl/>
        <w:numPr>
          <w:ilvl w:val="0"/>
          <w:numId w:val="0"/>
        </w:numPr>
        <w:wordWrap/>
        <w:adjustRightInd/>
        <w:snapToGrid/>
        <w:spacing w:line="560" w:lineRule="exact"/>
        <w:ind w:firstLine="600" w:firstLineChars="200"/>
        <w:textAlignment w:val="auto"/>
        <w:rPr>
          <w:rFonts w:hint="eastAsia" w:ascii="Times New Roman" w:hAnsi="Times New Roman" w:eastAsia="仿宋_GB2312"/>
          <w:sz w:val="30"/>
          <w:szCs w:val="30"/>
          <w:lang w:val="en-US" w:eastAsia="zh-CN"/>
        </w:rPr>
      </w:pPr>
    </w:p>
    <w:p w14:paraId="2679A10E">
      <w:pPr>
        <w:widowControl/>
        <w:numPr>
          <w:ilvl w:val="0"/>
          <w:numId w:val="0"/>
        </w:numPr>
        <w:wordWrap/>
        <w:adjustRightInd/>
        <w:snapToGrid/>
        <w:spacing w:line="560" w:lineRule="exact"/>
        <w:ind w:firstLine="600" w:firstLineChars="200"/>
        <w:textAlignment w:val="auto"/>
        <w:rPr>
          <w:rFonts w:hint="eastAsia" w:ascii="Times New Roman" w:hAnsi="Times New Roman" w:eastAsia="仿宋_GB2312"/>
          <w:sz w:val="30"/>
          <w:szCs w:val="30"/>
          <w:lang w:val="en-US" w:eastAsia="zh-CN"/>
        </w:rPr>
      </w:pPr>
    </w:p>
    <w:p w14:paraId="367D47D4">
      <w:pPr>
        <w:pStyle w:val="5"/>
        <w:shd w:val="clear" w:color="auto" w:fill="FFFFFF"/>
        <w:spacing w:before="0" w:beforeAutospacing="0" w:after="0" w:afterAutospacing="0" w:line="560" w:lineRule="exact"/>
        <w:rPr>
          <w:rFonts w:hint="eastAsia" w:ascii="Times New Roman" w:hAnsi="Times New Roman" w:eastAsia="仿宋_GB2312" w:cs="Times New Roman"/>
          <w:iCs/>
          <w:sz w:val="30"/>
          <w:szCs w:val="30"/>
          <w:lang w:val="en-US" w:eastAsia="zh-CN"/>
        </w:rPr>
      </w:pPr>
    </w:p>
    <w:p w14:paraId="5F9AAECB">
      <w:pPr>
        <w:pStyle w:val="5"/>
        <w:shd w:val="clear" w:color="auto" w:fill="FFFFFF"/>
        <w:spacing w:before="0" w:beforeAutospacing="0" w:after="0" w:afterAutospacing="0" w:line="560" w:lineRule="exact"/>
        <w:rPr>
          <w:rFonts w:ascii="Times New Roman" w:hAnsi="Times New Roman" w:eastAsia="仿宋_GB2312" w:cs="Times New Roman"/>
          <w:iCs/>
          <w:sz w:val="30"/>
          <w:szCs w:val="30"/>
        </w:rPr>
      </w:pPr>
    </w:p>
    <w:p w14:paraId="157469DF">
      <w:pPr>
        <w:pStyle w:val="5"/>
        <w:shd w:val="clear" w:color="auto" w:fill="FFFFFF"/>
        <w:spacing w:before="0" w:beforeAutospacing="0" w:after="0" w:afterAutospacing="0" w:line="560" w:lineRule="exact"/>
        <w:ind w:firstLine="600" w:firstLineChars="200"/>
        <w:rPr>
          <w:rFonts w:ascii="仿宋_GB2312" w:hAnsi="仿宋_GB2312" w:eastAsia="仿宋_GB2312" w:cs="仿宋_GB2312"/>
          <w:sz w:val="30"/>
          <w:szCs w:val="30"/>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D162">
    <w:pPr>
      <w:pStyle w:val="4"/>
      <w:jc w:val="center"/>
    </w:pPr>
    <w:r>
      <w:fldChar w:fldCharType="begin"/>
    </w:r>
    <w:r>
      <w:instrText xml:space="preserve">PAGE   \* MERGEFORMAT</w:instrText>
    </w:r>
    <w:r>
      <w:fldChar w:fldCharType="separate"/>
    </w:r>
    <w:r>
      <w:rPr>
        <w:lang w:val="zh-CN"/>
      </w:rPr>
      <w:t>2</w:t>
    </w:r>
    <w:r>
      <w:fldChar w:fldCharType="end"/>
    </w:r>
  </w:p>
  <w:p w14:paraId="1845DF3C">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7755EB7"/>
    <w:rsid w:val="38BB76AB"/>
    <w:rsid w:val="4CB80725"/>
    <w:rsid w:val="52734B8D"/>
    <w:rsid w:val="53BA549F"/>
    <w:rsid w:val="63AE504B"/>
    <w:rsid w:val="6851241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rPr>
  </w:style>
  <w:style w:type="character" w:default="1" w:styleId="8">
    <w:name w:val="Default Paragraph Font"/>
    <w:unhideWhenUsed/>
    <w:qFormat/>
    <w:uiPriority w:val="1"/>
  </w:style>
  <w:style w:type="table" w:default="1" w:styleId="7">
    <w:name w:val="Normal Table"/>
    <w:unhideWhenUsed/>
    <w:qFormat/>
    <w:uiPriority w:val="0"/>
    <w:tblPr>
      <w:tblCellMar>
        <w:top w:w="0" w:type="dxa"/>
        <w:left w:w="108" w:type="dxa"/>
        <w:bottom w:w="0" w:type="dxa"/>
        <w:right w:w="108" w:type="dxa"/>
      </w:tblCellMar>
    </w:tblPr>
  </w:style>
  <w:style w:type="paragraph" w:styleId="3">
    <w:name w:val="Body Text"/>
    <w:qFormat/>
    <w:uiPriority w:val="0"/>
    <w:rPr>
      <w:rFonts w:ascii="Arial" w:hAnsi="Arial" w:eastAsia="Arial" w:cs="Arial"/>
      <w:sz w:val="22"/>
      <w:szCs w:val="22"/>
      <w:lang w:val="en-US" w:eastAsia="en-US" w:bidi="ar-SA"/>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unhideWhenUsed/>
    <w:qFormat/>
    <w:uiPriority w:val="99"/>
    <w:pPr>
      <w:spacing w:before="100" w:beforeAutospacing="1" w:after="100" w:afterAutospacing="1"/>
    </w:pPr>
  </w:style>
  <w:style w:type="paragraph" w:styleId="6">
    <w:name w:val="Title"/>
    <w:basedOn w:val="1"/>
    <w:next w:val="1"/>
    <w:qFormat/>
    <w:uiPriority w:val="10"/>
    <w:pPr>
      <w:spacing w:before="240" w:after="60"/>
      <w:jc w:val="center"/>
      <w:outlineLvl w:val="0"/>
    </w:pPr>
    <w:rPr>
      <w:rFonts w:ascii="Calibri Light" w:hAnsi="Calibri Light"/>
      <w:b/>
      <w:bCs/>
      <w:sz w:val="32"/>
      <w:szCs w:val="32"/>
    </w:rPr>
  </w:style>
  <w:style w:type="character" w:styleId="9">
    <w:name w:val="FollowedHyperlink"/>
    <w:qFormat/>
    <w:uiPriority w:val="0"/>
    <w:rPr>
      <w:color w:val="800080"/>
      <w:u w:val="single"/>
    </w:rPr>
  </w:style>
  <w:style w:type="character" w:styleId="10">
    <w:name w:val="Emphasis"/>
    <w:basedOn w:val="8"/>
    <w:qFormat/>
    <w:uiPriority w:val="0"/>
    <w:rPr>
      <w:i/>
    </w:rPr>
  </w:style>
  <w:style w:type="character" w:styleId="11">
    <w:name w:val="Hyperlink"/>
    <w:basedOn w:val="8"/>
    <w:unhideWhenUsed/>
    <w:qFormat/>
    <w:uiPriority w:val="99"/>
    <w:rPr>
      <w:color w:val="0563C1"/>
      <w:u w:val="single"/>
    </w:rPr>
  </w:style>
  <w:style w:type="paragraph" w:customStyle="1" w:styleId="12">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Organization</Company>
  <Pages>1</Pages>
  <Words>56</Words>
  <Characters>59</Characters>
  <Lines>6</Lines>
  <Paragraphs>1</Paragraphs>
  <TotalTime>5</TotalTime>
  <ScaleCrop>false</ScaleCrop>
  <LinksUpToDate>false</LinksUpToDate>
  <CharactersWithSpaces>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2023-01-15T01:07:00Z</dcterms:created>
  <dc:creator>韩颖婕</dc:creator>
  <cp:lastModifiedBy>如梦(巴音桑)</cp:lastModifiedBy>
  <dcterms:modified xsi:type="dcterms:W3CDTF">2026-01-07T17:54:49Z</dcterms:modified>
  <dc:title>数字货币国际资讯日报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52A5E5E12F244FB6995394ACF1A9DAB0_13</vt:lpwstr>
  </property>
  <property fmtid="{D5CDD505-2E9C-101B-9397-08002B2CF9AE}" pid="4" name="KSOTemplateDocerSaveRecord">
    <vt:lpwstr>eyJoZGlkIjoiZjViYTZiNTQ1ZDJmMmI1YzFjM2NkMzY1N2NkYmViZjciLCJ1c2VySWQiOiI2NTY1OTY3NTIifQ==</vt:lpwstr>
  </property>
</Properties>
</file>