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ECFC" w14:textId="2E626079" w:rsidR="003F1618" w:rsidRDefault="000072E7">
      <w:r>
        <w:t xml:space="preserve">Protective rare variants of rare diseases are inherently undetectable. My previous work looking at the possible correlations between suggested this was the case, as only slight negative correlations are possible while perfect correlation of (1) is always a possibility. Here, however, I prove </w:t>
      </w:r>
      <w:r w:rsidR="003F1618">
        <w:t xml:space="preserve">this statement rigorously with an information-theoretic argument. I show that a Mendelian variant provides a strong amount of evidence even with low prevalences over a neutral mutation. However, even a perfectly protective variant provides no evidence over the null hypothesis even with prevalences up to 10%.  </w:t>
      </w:r>
    </w:p>
    <w:p w14:paraId="63A23A3D" w14:textId="490964F2" w:rsidR="000072E7" w:rsidRDefault="003F1618" w:rsidP="006B07F7">
      <w:pPr>
        <w:pStyle w:val="Heading1"/>
      </w:pPr>
      <w:r>
        <w:t>Methods</w:t>
      </w:r>
    </w:p>
    <w:p w14:paraId="7CC42C97" w14:textId="46C80126" w:rsidR="000072E7" w:rsidRDefault="003F1618">
      <w:r>
        <w:t xml:space="preserve">We assume that the prevalence of the disease and the variant are both </w:t>
      </w:r>
      <m:oMath>
        <m:r>
          <w:rPr>
            <w:rFonts w:ascii="Cambria Math" w:hAnsi="Cambria Math"/>
          </w:rPr>
          <m:t>ϵ</m:t>
        </m:r>
      </m:oMath>
      <w:r>
        <w:rPr>
          <w:rFonts w:eastAsiaTheme="minorEastAsia"/>
        </w:rPr>
        <w:t>, which amounts to fixing both marginals of the joint distribution of disease and variant. The contingency table for a neutral allele is</w:t>
      </w:r>
    </w:p>
    <w:tbl>
      <w:tblPr>
        <w:tblStyle w:val="TableGrid"/>
        <w:tblW w:w="0" w:type="auto"/>
        <w:tblLook w:val="04A0" w:firstRow="1" w:lastRow="0" w:firstColumn="1" w:lastColumn="0" w:noHBand="0" w:noVBand="1"/>
      </w:tblPr>
      <w:tblGrid>
        <w:gridCol w:w="2337"/>
        <w:gridCol w:w="2337"/>
        <w:gridCol w:w="2338"/>
        <w:gridCol w:w="2338"/>
      </w:tblGrid>
      <w:tr w:rsidR="000072E7" w14:paraId="54E021D5" w14:textId="77777777" w:rsidTr="000072E7">
        <w:tc>
          <w:tcPr>
            <w:tcW w:w="2337" w:type="dxa"/>
          </w:tcPr>
          <w:p w14:paraId="27AFFFA9" w14:textId="0FF7036F" w:rsidR="000072E7" w:rsidRDefault="000072E7">
            <w:r>
              <w:t>Variant\Disease</w:t>
            </w:r>
          </w:p>
        </w:tc>
        <w:tc>
          <w:tcPr>
            <w:tcW w:w="2337" w:type="dxa"/>
          </w:tcPr>
          <w:p w14:paraId="25EFABA2" w14:textId="046D8606" w:rsidR="000072E7" w:rsidRDefault="000072E7">
            <w:r>
              <w:t>-</w:t>
            </w:r>
          </w:p>
        </w:tc>
        <w:tc>
          <w:tcPr>
            <w:tcW w:w="2338" w:type="dxa"/>
          </w:tcPr>
          <w:p w14:paraId="76982EA4" w14:textId="78BB4C99" w:rsidR="000072E7" w:rsidRDefault="000072E7">
            <w:r>
              <w:t>+</w:t>
            </w:r>
          </w:p>
        </w:tc>
        <w:tc>
          <w:tcPr>
            <w:tcW w:w="2338" w:type="dxa"/>
          </w:tcPr>
          <w:p w14:paraId="47424865" w14:textId="00CEE0BA" w:rsidR="000072E7" w:rsidRDefault="000072E7">
            <w:r>
              <w:t>Marginals</w:t>
            </w:r>
          </w:p>
        </w:tc>
      </w:tr>
      <w:tr w:rsidR="000072E7" w14:paraId="39C03E48" w14:textId="77777777" w:rsidTr="000072E7">
        <w:tc>
          <w:tcPr>
            <w:tcW w:w="2337" w:type="dxa"/>
          </w:tcPr>
          <w:p w14:paraId="357ECBBC" w14:textId="124B701A" w:rsidR="000072E7" w:rsidRDefault="000072E7">
            <w:r>
              <w:t>-</w:t>
            </w:r>
          </w:p>
        </w:tc>
        <w:tc>
          <w:tcPr>
            <w:tcW w:w="2337" w:type="dxa"/>
          </w:tcPr>
          <w:p w14:paraId="5C5ABF97" w14:textId="02C45816" w:rsidR="000072E7"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oMath>
            </m:oMathPara>
          </w:p>
        </w:tc>
        <w:tc>
          <w:tcPr>
            <w:tcW w:w="2338" w:type="dxa"/>
          </w:tcPr>
          <w:p w14:paraId="2074EAF6" w14:textId="5590A0F7" w:rsidR="000072E7" w:rsidRDefault="000072E7">
            <m:oMathPara>
              <m:oMath>
                <m:r>
                  <w:rPr>
                    <w:rFonts w:ascii="Cambria Math" w:hAnsi="Cambria Math"/>
                  </w:rPr>
                  <m:t>ϵ(1-ϵ)</m:t>
                </m:r>
              </m:oMath>
            </m:oMathPara>
          </w:p>
        </w:tc>
        <w:tc>
          <w:tcPr>
            <w:tcW w:w="2338" w:type="dxa"/>
          </w:tcPr>
          <w:p w14:paraId="40669072" w14:textId="26FF65E0" w:rsidR="000072E7" w:rsidRDefault="000072E7">
            <m:oMathPara>
              <m:oMath>
                <m:r>
                  <w:rPr>
                    <w:rFonts w:ascii="Cambria Math" w:hAnsi="Cambria Math"/>
                  </w:rPr>
                  <m:t>1-ϵ</m:t>
                </m:r>
              </m:oMath>
            </m:oMathPara>
          </w:p>
        </w:tc>
      </w:tr>
      <w:tr w:rsidR="000072E7" w14:paraId="54C9BA44" w14:textId="77777777" w:rsidTr="000072E7">
        <w:tc>
          <w:tcPr>
            <w:tcW w:w="2337" w:type="dxa"/>
          </w:tcPr>
          <w:p w14:paraId="1F2213F8" w14:textId="73184074" w:rsidR="000072E7" w:rsidRDefault="000072E7">
            <w:r>
              <w:t>+</w:t>
            </w:r>
          </w:p>
        </w:tc>
        <w:tc>
          <w:tcPr>
            <w:tcW w:w="2337" w:type="dxa"/>
          </w:tcPr>
          <w:p w14:paraId="7964D354" w14:textId="685FF174" w:rsidR="000072E7" w:rsidRDefault="000072E7">
            <m:oMathPara>
              <m:oMath>
                <m:r>
                  <w:rPr>
                    <w:rFonts w:ascii="Cambria Math" w:hAnsi="Cambria Math"/>
                  </w:rPr>
                  <m:t>ϵ(1-ϵ)</m:t>
                </m:r>
              </m:oMath>
            </m:oMathPara>
          </w:p>
        </w:tc>
        <w:tc>
          <w:tcPr>
            <w:tcW w:w="2338" w:type="dxa"/>
          </w:tcPr>
          <w:p w14:paraId="2C0C2D3C" w14:textId="24CD8900" w:rsidR="000072E7" w:rsidRDefault="00000000">
            <m:oMathPara>
              <m:oMath>
                <m:sSup>
                  <m:sSupPr>
                    <m:ctrlPr>
                      <w:rPr>
                        <w:rFonts w:ascii="Cambria Math" w:hAnsi="Cambria Math"/>
                        <w:i/>
                      </w:rPr>
                    </m:ctrlPr>
                  </m:sSupPr>
                  <m:e>
                    <m:r>
                      <w:rPr>
                        <w:rFonts w:ascii="Cambria Math" w:hAnsi="Cambria Math"/>
                      </w:rPr>
                      <m:t>ϵ</m:t>
                    </m:r>
                  </m:e>
                  <m:sup>
                    <m:r>
                      <w:rPr>
                        <w:rFonts w:ascii="Cambria Math" w:hAnsi="Cambria Math"/>
                      </w:rPr>
                      <m:t>2</m:t>
                    </m:r>
                  </m:sup>
                </m:sSup>
              </m:oMath>
            </m:oMathPara>
          </w:p>
        </w:tc>
        <w:tc>
          <w:tcPr>
            <w:tcW w:w="2338" w:type="dxa"/>
          </w:tcPr>
          <w:p w14:paraId="6A302A0A" w14:textId="6D1B1EC6" w:rsidR="000072E7" w:rsidRDefault="000072E7">
            <m:oMathPara>
              <m:oMath>
                <m:r>
                  <w:rPr>
                    <w:rFonts w:ascii="Cambria Math" w:hAnsi="Cambria Math"/>
                  </w:rPr>
                  <m:t>ϵ</m:t>
                </m:r>
              </m:oMath>
            </m:oMathPara>
          </w:p>
        </w:tc>
      </w:tr>
      <w:tr w:rsidR="000072E7" w14:paraId="0B992A93" w14:textId="77777777" w:rsidTr="000072E7">
        <w:tc>
          <w:tcPr>
            <w:tcW w:w="2337" w:type="dxa"/>
          </w:tcPr>
          <w:p w14:paraId="59FBAD7A" w14:textId="2848492A" w:rsidR="000072E7" w:rsidRDefault="000072E7">
            <w:r>
              <w:t>Marginals</w:t>
            </w:r>
          </w:p>
        </w:tc>
        <w:tc>
          <w:tcPr>
            <w:tcW w:w="2337" w:type="dxa"/>
          </w:tcPr>
          <w:p w14:paraId="273AF4F1" w14:textId="238B31BE" w:rsidR="000072E7" w:rsidRDefault="000072E7">
            <m:oMathPara>
              <m:oMath>
                <m:r>
                  <w:rPr>
                    <w:rFonts w:ascii="Cambria Math" w:hAnsi="Cambria Math"/>
                  </w:rPr>
                  <m:t>1-ϵ</m:t>
                </m:r>
              </m:oMath>
            </m:oMathPara>
          </w:p>
        </w:tc>
        <w:tc>
          <w:tcPr>
            <w:tcW w:w="2338" w:type="dxa"/>
          </w:tcPr>
          <w:p w14:paraId="1BD3904E" w14:textId="621DF700" w:rsidR="000072E7" w:rsidRDefault="000072E7">
            <m:oMathPara>
              <m:oMath>
                <m:r>
                  <w:rPr>
                    <w:rFonts w:ascii="Cambria Math" w:hAnsi="Cambria Math"/>
                  </w:rPr>
                  <m:t>ϵ</m:t>
                </m:r>
              </m:oMath>
            </m:oMathPara>
          </w:p>
        </w:tc>
        <w:tc>
          <w:tcPr>
            <w:tcW w:w="2338" w:type="dxa"/>
          </w:tcPr>
          <w:p w14:paraId="1E53B024" w14:textId="0E03068C" w:rsidR="000072E7" w:rsidRDefault="000072E7">
            <w:r>
              <w:t>1</w:t>
            </w:r>
          </w:p>
        </w:tc>
      </w:tr>
    </w:tbl>
    <w:p w14:paraId="2DB40352" w14:textId="77777777" w:rsidR="003F1618" w:rsidRDefault="003F1618"/>
    <w:p w14:paraId="3E011491" w14:textId="2742F752" w:rsidR="000072E7" w:rsidRDefault="003F1618">
      <w:r>
        <w:t xml:space="preserve">While that of a </w:t>
      </w:r>
      <w:r w:rsidR="000072E7">
        <w:t xml:space="preserve">Mendelian </w:t>
      </w:r>
      <w:r>
        <w:t>d</w:t>
      </w:r>
      <w:r w:rsidR="000072E7">
        <w:t>isease</w:t>
      </w:r>
      <w:r>
        <w:t xml:space="preserve"> is</w:t>
      </w:r>
    </w:p>
    <w:tbl>
      <w:tblPr>
        <w:tblStyle w:val="TableGrid"/>
        <w:tblW w:w="0" w:type="auto"/>
        <w:tblLook w:val="04A0" w:firstRow="1" w:lastRow="0" w:firstColumn="1" w:lastColumn="0" w:noHBand="0" w:noVBand="1"/>
      </w:tblPr>
      <w:tblGrid>
        <w:gridCol w:w="2337"/>
        <w:gridCol w:w="2337"/>
        <w:gridCol w:w="2338"/>
        <w:gridCol w:w="2338"/>
      </w:tblGrid>
      <w:tr w:rsidR="000072E7" w14:paraId="4746C7F9" w14:textId="77777777" w:rsidTr="00690DFE">
        <w:tc>
          <w:tcPr>
            <w:tcW w:w="2337" w:type="dxa"/>
          </w:tcPr>
          <w:p w14:paraId="29DE3AA6" w14:textId="77777777" w:rsidR="000072E7" w:rsidRDefault="000072E7" w:rsidP="00690DFE">
            <w:r>
              <w:t>Variant\Disease</w:t>
            </w:r>
          </w:p>
        </w:tc>
        <w:tc>
          <w:tcPr>
            <w:tcW w:w="2337" w:type="dxa"/>
          </w:tcPr>
          <w:p w14:paraId="4D7CBD3C" w14:textId="77777777" w:rsidR="000072E7" w:rsidRDefault="000072E7" w:rsidP="00690DFE">
            <w:r>
              <w:t>-</w:t>
            </w:r>
          </w:p>
        </w:tc>
        <w:tc>
          <w:tcPr>
            <w:tcW w:w="2338" w:type="dxa"/>
          </w:tcPr>
          <w:p w14:paraId="457472D9" w14:textId="77777777" w:rsidR="000072E7" w:rsidRDefault="000072E7" w:rsidP="00690DFE">
            <w:r>
              <w:t>+</w:t>
            </w:r>
          </w:p>
        </w:tc>
        <w:tc>
          <w:tcPr>
            <w:tcW w:w="2338" w:type="dxa"/>
          </w:tcPr>
          <w:p w14:paraId="1F66D6AF" w14:textId="77777777" w:rsidR="000072E7" w:rsidRDefault="000072E7" w:rsidP="00690DFE">
            <w:r>
              <w:t>Marginals</w:t>
            </w:r>
          </w:p>
        </w:tc>
      </w:tr>
      <w:tr w:rsidR="000072E7" w14:paraId="7B25FA13" w14:textId="77777777" w:rsidTr="00690DFE">
        <w:tc>
          <w:tcPr>
            <w:tcW w:w="2337" w:type="dxa"/>
          </w:tcPr>
          <w:p w14:paraId="0172717B" w14:textId="77777777" w:rsidR="000072E7" w:rsidRDefault="000072E7" w:rsidP="00690DFE">
            <w:r>
              <w:t>-</w:t>
            </w:r>
          </w:p>
        </w:tc>
        <w:tc>
          <w:tcPr>
            <w:tcW w:w="2337" w:type="dxa"/>
          </w:tcPr>
          <w:p w14:paraId="1E781CE1" w14:textId="438F545F" w:rsidR="000072E7" w:rsidRDefault="000072E7" w:rsidP="00690DFE">
            <m:oMathPara>
              <m:oMath>
                <m:r>
                  <w:rPr>
                    <w:rFonts w:ascii="Cambria Math" w:hAnsi="Cambria Math"/>
                  </w:rPr>
                  <m:t>1-ϵ</m:t>
                </m:r>
              </m:oMath>
            </m:oMathPara>
          </w:p>
        </w:tc>
        <w:tc>
          <w:tcPr>
            <w:tcW w:w="2338" w:type="dxa"/>
          </w:tcPr>
          <w:p w14:paraId="00F8A921" w14:textId="2F10C6BB" w:rsidR="000072E7" w:rsidRDefault="000072E7" w:rsidP="00690DFE">
            <m:oMathPara>
              <m:oMath>
                <m:r>
                  <w:rPr>
                    <w:rFonts w:ascii="Cambria Math" w:hAnsi="Cambria Math"/>
                  </w:rPr>
                  <m:t>0</m:t>
                </m:r>
              </m:oMath>
            </m:oMathPara>
          </w:p>
        </w:tc>
        <w:tc>
          <w:tcPr>
            <w:tcW w:w="2338" w:type="dxa"/>
          </w:tcPr>
          <w:p w14:paraId="5E7CF73E" w14:textId="77777777" w:rsidR="000072E7" w:rsidRDefault="000072E7" w:rsidP="00690DFE">
            <m:oMathPara>
              <m:oMath>
                <m:r>
                  <w:rPr>
                    <w:rFonts w:ascii="Cambria Math" w:hAnsi="Cambria Math"/>
                  </w:rPr>
                  <m:t>1-ϵ</m:t>
                </m:r>
              </m:oMath>
            </m:oMathPara>
          </w:p>
        </w:tc>
      </w:tr>
      <w:tr w:rsidR="000072E7" w14:paraId="5E6263AF" w14:textId="77777777" w:rsidTr="00690DFE">
        <w:tc>
          <w:tcPr>
            <w:tcW w:w="2337" w:type="dxa"/>
          </w:tcPr>
          <w:p w14:paraId="7AF791DA" w14:textId="77777777" w:rsidR="000072E7" w:rsidRDefault="000072E7" w:rsidP="00690DFE">
            <w:r>
              <w:t>+</w:t>
            </w:r>
          </w:p>
        </w:tc>
        <w:tc>
          <w:tcPr>
            <w:tcW w:w="2337" w:type="dxa"/>
          </w:tcPr>
          <w:p w14:paraId="06A34838" w14:textId="3DE9027A" w:rsidR="000072E7" w:rsidRDefault="000072E7" w:rsidP="00690DFE">
            <m:oMathPara>
              <m:oMath>
                <m:r>
                  <w:rPr>
                    <w:rFonts w:ascii="Cambria Math" w:hAnsi="Cambria Math"/>
                  </w:rPr>
                  <m:t>0</m:t>
                </m:r>
              </m:oMath>
            </m:oMathPara>
          </w:p>
        </w:tc>
        <w:tc>
          <w:tcPr>
            <w:tcW w:w="2338" w:type="dxa"/>
          </w:tcPr>
          <w:p w14:paraId="41162EBC" w14:textId="3EF2089E" w:rsidR="000072E7" w:rsidRDefault="000072E7" w:rsidP="00690DFE">
            <m:oMathPara>
              <m:oMath>
                <m:r>
                  <w:rPr>
                    <w:rFonts w:ascii="Cambria Math" w:hAnsi="Cambria Math"/>
                  </w:rPr>
                  <m:t>ϵ</m:t>
                </m:r>
              </m:oMath>
            </m:oMathPara>
          </w:p>
        </w:tc>
        <w:tc>
          <w:tcPr>
            <w:tcW w:w="2338" w:type="dxa"/>
          </w:tcPr>
          <w:p w14:paraId="0B0BCA73" w14:textId="77777777" w:rsidR="000072E7" w:rsidRDefault="000072E7" w:rsidP="00690DFE">
            <m:oMathPara>
              <m:oMath>
                <m:r>
                  <w:rPr>
                    <w:rFonts w:ascii="Cambria Math" w:hAnsi="Cambria Math"/>
                  </w:rPr>
                  <m:t>ϵ</m:t>
                </m:r>
              </m:oMath>
            </m:oMathPara>
          </w:p>
        </w:tc>
      </w:tr>
      <w:tr w:rsidR="000072E7" w14:paraId="2DC59F0F" w14:textId="77777777" w:rsidTr="00690DFE">
        <w:tc>
          <w:tcPr>
            <w:tcW w:w="2337" w:type="dxa"/>
          </w:tcPr>
          <w:p w14:paraId="7F971C78" w14:textId="77777777" w:rsidR="000072E7" w:rsidRDefault="000072E7" w:rsidP="00690DFE">
            <w:r>
              <w:t>Marginals</w:t>
            </w:r>
          </w:p>
        </w:tc>
        <w:tc>
          <w:tcPr>
            <w:tcW w:w="2337" w:type="dxa"/>
          </w:tcPr>
          <w:p w14:paraId="632C1703" w14:textId="77777777" w:rsidR="000072E7" w:rsidRDefault="000072E7" w:rsidP="00690DFE">
            <m:oMathPara>
              <m:oMath>
                <m:r>
                  <w:rPr>
                    <w:rFonts w:ascii="Cambria Math" w:hAnsi="Cambria Math"/>
                  </w:rPr>
                  <m:t>1-ϵ</m:t>
                </m:r>
              </m:oMath>
            </m:oMathPara>
          </w:p>
        </w:tc>
        <w:tc>
          <w:tcPr>
            <w:tcW w:w="2338" w:type="dxa"/>
          </w:tcPr>
          <w:p w14:paraId="2D7BABD4" w14:textId="77777777" w:rsidR="000072E7" w:rsidRDefault="000072E7" w:rsidP="00690DFE">
            <m:oMathPara>
              <m:oMath>
                <m:r>
                  <w:rPr>
                    <w:rFonts w:ascii="Cambria Math" w:hAnsi="Cambria Math"/>
                  </w:rPr>
                  <m:t>ϵ</m:t>
                </m:r>
              </m:oMath>
            </m:oMathPara>
          </w:p>
        </w:tc>
        <w:tc>
          <w:tcPr>
            <w:tcW w:w="2338" w:type="dxa"/>
          </w:tcPr>
          <w:p w14:paraId="7C7BA068" w14:textId="77777777" w:rsidR="000072E7" w:rsidRDefault="000072E7" w:rsidP="00690DFE">
            <w:r>
              <w:t>1</w:t>
            </w:r>
          </w:p>
        </w:tc>
      </w:tr>
    </w:tbl>
    <w:p w14:paraId="2047C910" w14:textId="4F16BA4A" w:rsidR="000072E7" w:rsidRDefault="000072E7"/>
    <w:p w14:paraId="24DE9950" w14:textId="1F46C112" w:rsidR="003F1618" w:rsidRDefault="003F1618">
      <w:r>
        <w:t xml:space="preserve">And a perfectly protective disease is </w:t>
      </w:r>
    </w:p>
    <w:tbl>
      <w:tblPr>
        <w:tblStyle w:val="TableGrid"/>
        <w:tblW w:w="0" w:type="auto"/>
        <w:tblLook w:val="04A0" w:firstRow="1" w:lastRow="0" w:firstColumn="1" w:lastColumn="0" w:noHBand="0" w:noVBand="1"/>
      </w:tblPr>
      <w:tblGrid>
        <w:gridCol w:w="2337"/>
        <w:gridCol w:w="2337"/>
        <w:gridCol w:w="2338"/>
        <w:gridCol w:w="2338"/>
      </w:tblGrid>
      <w:tr w:rsidR="000072E7" w14:paraId="22BA4BFD" w14:textId="77777777" w:rsidTr="00690DFE">
        <w:tc>
          <w:tcPr>
            <w:tcW w:w="2337" w:type="dxa"/>
          </w:tcPr>
          <w:p w14:paraId="18B75D74" w14:textId="77777777" w:rsidR="000072E7" w:rsidRDefault="000072E7" w:rsidP="00690DFE">
            <w:r>
              <w:t>Variant\Disease</w:t>
            </w:r>
          </w:p>
        </w:tc>
        <w:tc>
          <w:tcPr>
            <w:tcW w:w="2337" w:type="dxa"/>
          </w:tcPr>
          <w:p w14:paraId="4D88E150" w14:textId="77777777" w:rsidR="000072E7" w:rsidRDefault="000072E7" w:rsidP="00690DFE">
            <w:r>
              <w:t>-</w:t>
            </w:r>
          </w:p>
        </w:tc>
        <w:tc>
          <w:tcPr>
            <w:tcW w:w="2338" w:type="dxa"/>
          </w:tcPr>
          <w:p w14:paraId="1738A06B" w14:textId="77777777" w:rsidR="000072E7" w:rsidRDefault="000072E7" w:rsidP="00690DFE">
            <w:r>
              <w:t>+</w:t>
            </w:r>
          </w:p>
        </w:tc>
        <w:tc>
          <w:tcPr>
            <w:tcW w:w="2338" w:type="dxa"/>
          </w:tcPr>
          <w:p w14:paraId="726EE0FD" w14:textId="77777777" w:rsidR="000072E7" w:rsidRDefault="000072E7" w:rsidP="00690DFE">
            <w:r>
              <w:t>Marginals</w:t>
            </w:r>
          </w:p>
        </w:tc>
      </w:tr>
      <w:tr w:rsidR="000072E7" w14:paraId="20F26684" w14:textId="77777777" w:rsidTr="00690DFE">
        <w:tc>
          <w:tcPr>
            <w:tcW w:w="2337" w:type="dxa"/>
          </w:tcPr>
          <w:p w14:paraId="6001E8F9" w14:textId="77777777" w:rsidR="000072E7" w:rsidRDefault="000072E7" w:rsidP="00690DFE">
            <w:r>
              <w:t>-</w:t>
            </w:r>
          </w:p>
        </w:tc>
        <w:tc>
          <w:tcPr>
            <w:tcW w:w="2337" w:type="dxa"/>
          </w:tcPr>
          <w:p w14:paraId="44537DE9" w14:textId="373D2C99" w:rsidR="000072E7" w:rsidRDefault="000072E7" w:rsidP="00690DFE">
            <m:oMathPara>
              <m:oMath>
                <m:r>
                  <w:rPr>
                    <w:rFonts w:ascii="Cambria Math" w:hAnsi="Cambria Math"/>
                  </w:rPr>
                  <m:t>1-2ϵ</m:t>
                </m:r>
              </m:oMath>
            </m:oMathPara>
          </w:p>
        </w:tc>
        <w:tc>
          <w:tcPr>
            <w:tcW w:w="2338" w:type="dxa"/>
          </w:tcPr>
          <w:p w14:paraId="52122B3C" w14:textId="653B8253" w:rsidR="000072E7" w:rsidRDefault="000072E7" w:rsidP="00690DFE">
            <m:oMathPara>
              <m:oMath>
                <m:r>
                  <w:rPr>
                    <w:rFonts w:ascii="Cambria Math" w:hAnsi="Cambria Math"/>
                  </w:rPr>
                  <m:t>ϵ</m:t>
                </m:r>
              </m:oMath>
            </m:oMathPara>
          </w:p>
        </w:tc>
        <w:tc>
          <w:tcPr>
            <w:tcW w:w="2338" w:type="dxa"/>
          </w:tcPr>
          <w:p w14:paraId="1E11839A" w14:textId="77777777" w:rsidR="000072E7" w:rsidRDefault="000072E7" w:rsidP="00690DFE">
            <m:oMathPara>
              <m:oMath>
                <m:r>
                  <w:rPr>
                    <w:rFonts w:ascii="Cambria Math" w:hAnsi="Cambria Math"/>
                  </w:rPr>
                  <m:t>1-ϵ</m:t>
                </m:r>
              </m:oMath>
            </m:oMathPara>
          </w:p>
        </w:tc>
      </w:tr>
      <w:tr w:rsidR="000072E7" w14:paraId="7FA0E8E2" w14:textId="77777777" w:rsidTr="00690DFE">
        <w:tc>
          <w:tcPr>
            <w:tcW w:w="2337" w:type="dxa"/>
          </w:tcPr>
          <w:p w14:paraId="0E5398F1" w14:textId="77777777" w:rsidR="000072E7" w:rsidRDefault="000072E7" w:rsidP="00690DFE">
            <w:r>
              <w:t>+</w:t>
            </w:r>
          </w:p>
        </w:tc>
        <w:tc>
          <w:tcPr>
            <w:tcW w:w="2337" w:type="dxa"/>
          </w:tcPr>
          <w:p w14:paraId="381F17DD" w14:textId="66FD7003" w:rsidR="000072E7" w:rsidRDefault="000072E7" w:rsidP="00690DFE">
            <m:oMathPara>
              <m:oMath>
                <m:r>
                  <w:rPr>
                    <w:rFonts w:ascii="Cambria Math" w:hAnsi="Cambria Math"/>
                  </w:rPr>
                  <m:t>ϵ</m:t>
                </m:r>
              </m:oMath>
            </m:oMathPara>
          </w:p>
        </w:tc>
        <w:tc>
          <w:tcPr>
            <w:tcW w:w="2338" w:type="dxa"/>
          </w:tcPr>
          <w:p w14:paraId="1BE3499C" w14:textId="2C0B05C4" w:rsidR="000072E7" w:rsidRDefault="000072E7" w:rsidP="00690DFE">
            <m:oMathPara>
              <m:oMath>
                <m:r>
                  <w:rPr>
                    <w:rFonts w:ascii="Cambria Math" w:hAnsi="Cambria Math"/>
                  </w:rPr>
                  <m:t>0</m:t>
                </m:r>
              </m:oMath>
            </m:oMathPara>
          </w:p>
        </w:tc>
        <w:tc>
          <w:tcPr>
            <w:tcW w:w="2338" w:type="dxa"/>
          </w:tcPr>
          <w:p w14:paraId="798BB4B8" w14:textId="77777777" w:rsidR="000072E7" w:rsidRDefault="000072E7" w:rsidP="00690DFE">
            <m:oMathPara>
              <m:oMath>
                <m:r>
                  <w:rPr>
                    <w:rFonts w:ascii="Cambria Math" w:hAnsi="Cambria Math"/>
                  </w:rPr>
                  <m:t>ϵ</m:t>
                </m:r>
              </m:oMath>
            </m:oMathPara>
          </w:p>
        </w:tc>
      </w:tr>
      <w:tr w:rsidR="000072E7" w14:paraId="4E0414BD" w14:textId="77777777" w:rsidTr="00690DFE">
        <w:tc>
          <w:tcPr>
            <w:tcW w:w="2337" w:type="dxa"/>
          </w:tcPr>
          <w:p w14:paraId="5B13119F" w14:textId="77777777" w:rsidR="000072E7" w:rsidRDefault="000072E7" w:rsidP="00690DFE">
            <w:r>
              <w:t>Marginals</w:t>
            </w:r>
          </w:p>
        </w:tc>
        <w:tc>
          <w:tcPr>
            <w:tcW w:w="2337" w:type="dxa"/>
          </w:tcPr>
          <w:p w14:paraId="0597F3C8" w14:textId="77777777" w:rsidR="000072E7" w:rsidRDefault="000072E7" w:rsidP="00690DFE">
            <m:oMathPara>
              <m:oMath>
                <m:r>
                  <w:rPr>
                    <w:rFonts w:ascii="Cambria Math" w:hAnsi="Cambria Math"/>
                  </w:rPr>
                  <m:t>1-ϵ</m:t>
                </m:r>
              </m:oMath>
            </m:oMathPara>
          </w:p>
        </w:tc>
        <w:tc>
          <w:tcPr>
            <w:tcW w:w="2338" w:type="dxa"/>
          </w:tcPr>
          <w:p w14:paraId="316FEC2A" w14:textId="77777777" w:rsidR="000072E7" w:rsidRDefault="000072E7" w:rsidP="00690DFE">
            <m:oMathPara>
              <m:oMath>
                <m:r>
                  <w:rPr>
                    <w:rFonts w:ascii="Cambria Math" w:hAnsi="Cambria Math"/>
                  </w:rPr>
                  <m:t>ϵ</m:t>
                </m:r>
              </m:oMath>
            </m:oMathPara>
          </w:p>
        </w:tc>
        <w:tc>
          <w:tcPr>
            <w:tcW w:w="2338" w:type="dxa"/>
          </w:tcPr>
          <w:p w14:paraId="2DC3DD0D" w14:textId="77777777" w:rsidR="000072E7" w:rsidRDefault="000072E7" w:rsidP="00690DFE">
            <w:r>
              <w:t>1</w:t>
            </w:r>
          </w:p>
        </w:tc>
      </w:tr>
    </w:tbl>
    <w:p w14:paraId="7F8126B8" w14:textId="77777777" w:rsidR="000072E7" w:rsidRDefault="000072E7"/>
    <w:p w14:paraId="3FB42D1E" w14:textId="1B9D5D84" w:rsidR="0019576F" w:rsidRDefault="0019576F">
      <w:r>
        <w:t xml:space="preserve">Detecting whether a variant is protective/causal amounts to obtaining evidence away from independence. Since we have an observational study here, both are response variables. In this case, the rigorous information provided by a single sample is the KL divergence from the independent distribution. The KL divergence is defined as </w:t>
      </w:r>
    </w:p>
    <w:p w14:paraId="06E5F743" w14:textId="0976100E" w:rsidR="0019576F" w:rsidRPr="0019576F" w:rsidRDefault="0019576F">
      <w:pPr>
        <w:rPr>
          <w:rFonts w:eastAsiaTheme="minorEastAsia"/>
        </w:rPr>
      </w:pPr>
      <m:oMathPara>
        <m:oMath>
          <m:r>
            <w:rPr>
              <w:rFonts w:ascii="Cambria Math" w:hAnsi="Cambria Math"/>
            </w:rPr>
            <m:t>KL</m:t>
          </m:r>
          <m:d>
            <m:dPr>
              <m:ctrlPr>
                <w:rPr>
                  <w:rFonts w:ascii="Cambria Math" w:hAnsi="Cambria Math"/>
                  <w:i/>
                </w:rPr>
              </m:ctrlPr>
            </m:dPr>
            <m:e>
              <m:r>
                <w:rPr>
                  <w:rFonts w:ascii="Cambria Math" w:hAnsi="Cambria Math"/>
                </w:rPr>
                <m:t>P</m:t>
              </m:r>
            </m:e>
            <m:e>
              <m:r>
                <w:rPr>
                  <w:rFonts w:ascii="Cambria Math" w:hAnsi="Cambria Math"/>
                </w:rPr>
                <m:t>Q</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Q(x)</m:t>
                      </m:r>
                    </m:den>
                  </m:f>
                  <m:r>
                    <w:rPr>
                      <w:rFonts w:ascii="Cambria Math" w:hAnsi="Cambria Math"/>
                    </w:rPr>
                    <m:t>,</m:t>
                  </m:r>
                </m:e>
              </m:func>
            </m:e>
          </m:nary>
        </m:oMath>
      </m:oMathPara>
    </w:p>
    <w:p w14:paraId="2C7FA463" w14:textId="265789CD" w:rsidR="0019576F" w:rsidRDefault="0019576F">
      <w:pPr>
        <w:rPr>
          <w:rFonts w:eastAsiaTheme="minorEastAsia"/>
        </w:rPr>
      </w:pPr>
      <w:r>
        <w:rPr>
          <w:rFonts w:eastAsiaTheme="minorEastAsia"/>
        </w:rPr>
        <w:t xml:space="preserve">Which will always be non-negative. We can compute the divergences for a Mendelian disease an a perfectly protective disease as </w:t>
      </w:r>
    </w:p>
    <w:p w14:paraId="5EB5A091" w14:textId="2191BA99" w:rsidR="0019576F" w:rsidRPr="0019576F" w:rsidRDefault="0019576F">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ϵ</m:t>
              </m:r>
            </m:e>
          </m:d>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log</m:t>
              </m:r>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1-ϵ</m:t>
                  </m:r>
                </m:den>
              </m:f>
              <m:r>
                <w:rPr>
                  <w:rFonts w:ascii="Cambria Math" w:hAnsi="Cambria Math"/>
                </w:rPr>
                <m:t>)</m:t>
              </m:r>
            </m:e>
          </m:func>
          <m:r>
            <w:rPr>
              <w:rFonts w:ascii="Cambria Math" w:hAnsi="Cambria Math"/>
            </w:rPr>
            <m:t>+ϵ</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oMath>
      </m:oMathPara>
    </w:p>
    <w:p w14:paraId="745819AE" w14:textId="490E647B" w:rsidR="0019576F" w:rsidRDefault="0019576F">
      <w:pPr>
        <w:rPr>
          <w:rFonts w:eastAsiaTheme="minorEastAsia"/>
        </w:rPr>
      </w:pPr>
      <w:r>
        <w:rPr>
          <w:rFonts w:eastAsiaTheme="minorEastAsia"/>
        </w:rPr>
        <w:t xml:space="preserve">And </w:t>
      </w:r>
    </w:p>
    <w:p w14:paraId="3234B384" w14:textId="31399D39" w:rsidR="0019576F" w:rsidRPr="0019576F" w:rsidRDefault="0019576F">
      <w:pPr>
        <w:rPr>
          <w:rFonts w:eastAsiaTheme="minorEastAsia"/>
        </w:rPr>
      </w:pPr>
      <m:oMathPara>
        <m:oMath>
          <m:r>
            <w:rPr>
              <w:rFonts w:ascii="Cambria Math" w:hAnsi="Cambria Math"/>
            </w:rPr>
            <w:lastRenderedPageBreak/>
            <m:t>K</m:t>
          </m:r>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ϵ</m:t>
              </m:r>
            </m:e>
          </m:d>
          <m:r>
            <w:rPr>
              <w:rFonts w:ascii="Cambria Math" w:hAnsi="Cambria Math"/>
            </w:rPr>
            <m:t>=</m:t>
          </m:r>
          <m:d>
            <m:dPr>
              <m:ctrlPr>
                <w:rPr>
                  <w:rFonts w:ascii="Cambria Math" w:hAnsi="Cambria Math"/>
                  <w:i/>
                </w:rPr>
              </m:ctrlPr>
            </m:dPr>
            <m:e>
              <m:r>
                <w:rPr>
                  <w:rFonts w:ascii="Cambria Math" w:hAnsi="Cambria Math"/>
                </w:rPr>
                <m:t>1-2ϵ</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1-2ϵ</m:t>
                  </m:r>
                </m:num>
                <m:den>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den>
              </m:f>
            </m:e>
          </m:func>
          <m:r>
            <w:rPr>
              <w:rFonts w:ascii="Cambria Math" w:hAnsi="Cambria Math"/>
            </w:rPr>
            <m:t>+2ϵ</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1-ϵ</m:t>
                  </m:r>
                </m:den>
              </m:f>
            </m:e>
          </m:func>
        </m:oMath>
      </m:oMathPara>
    </w:p>
    <w:p w14:paraId="2F88E94A" w14:textId="46E280B8" w:rsidR="0019576F" w:rsidRDefault="0019576F">
      <w:pPr>
        <w:rPr>
          <w:rFonts w:eastAsiaTheme="minorEastAsia"/>
        </w:rPr>
      </w:pPr>
      <w:r>
        <w:rPr>
          <w:rFonts w:eastAsiaTheme="minorEastAsia"/>
        </w:rPr>
        <w:t>These may not look very different but</w:t>
      </w:r>
    </w:p>
    <w:p w14:paraId="5C0C0686" w14:textId="356E2DA9" w:rsidR="0019576F" w:rsidRPr="00B101DF" w:rsidRDefault="0019576F">
      <w:pPr>
        <w:rPr>
          <w:rFonts w:eastAsiaTheme="minorEastAsia"/>
        </w:rPr>
      </w:pPr>
      <m:oMathPara>
        <m:oMath>
          <m:r>
            <w:rPr>
              <w:rFonts w:ascii="Cambria Math" w:hAnsi="Cambria Math"/>
            </w:rPr>
            <m:t>K</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ϵ</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ϵ</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(1-ϵ)</m:t>
              </m:r>
            </m:e>
          </m:func>
        </m:oMath>
      </m:oMathPara>
    </w:p>
    <w:p w14:paraId="56F93211" w14:textId="78A6FFE3" w:rsidR="00B101DF" w:rsidRDefault="00B101DF">
      <w:pPr>
        <w:rPr>
          <w:rFonts w:eastAsiaTheme="minorEastAsia"/>
        </w:rPr>
      </w:pPr>
      <w:r>
        <w:rPr>
          <w:rFonts w:eastAsiaTheme="minorEastAsia"/>
        </w:rPr>
        <w:t xml:space="preserve">While </w:t>
      </w:r>
    </w:p>
    <w:p w14:paraId="39FAF67A" w14:textId="03034982" w:rsidR="00B101DF" w:rsidRPr="0019576F" w:rsidRDefault="00B101DF">
      <w:pPr>
        <w:rPr>
          <w:rFonts w:eastAsiaTheme="minorEastAsia"/>
        </w:rPr>
      </w:pPr>
      <m:oMathPara>
        <m:oMath>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P</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ϵ</m:t>
              </m:r>
            </m:e>
          </m:d>
          <m:r>
            <w:rPr>
              <w:rFonts w:ascii="Cambria Math" w:eastAsiaTheme="minorEastAsia" w:hAnsi="Cambria Math"/>
            </w:rPr>
            <m:t>=2</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1-ϵ</m:t>
                      </m:r>
                    </m:den>
                  </m:f>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1-2ϵ</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den>
                  </m:f>
                </m:e>
              </m:func>
            </m:e>
          </m:d>
        </m:oMath>
      </m:oMathPara>
    </w:p>
    <w:p w14:paraId="232B736E" w14:textId="2075EDEF" w:rsidR="0019576F" w:rsidRDefault="0019576F">
      <w:pPr>
        <w:rPr>
          <w:rFonts w:eastAsiaTheme="minorEastAsia"/>
        </w:rPr>
      </w:pPr>
      <w:proofErr w:type="gramStart"/>
      <w:r>
        <w:rPr>
          <w:rFonts w:eastAsiaTheme="minorEastAsia"/>
        </w:rPr>
        <w:t>So</w:t>
      </w:r>
      <w:proofErr w:type="gramEnd"/>
      <w:r>
        <w:rPr>
          <w:rFonts w:eastAsiaTheme="minorEastAsia"/>
        </w:rPr>
        <w:t xml:space="preserve"> this curve has positive slope as </w:t>
      </w:r>
      <m:oMath>
        <m:r>
          <w:rPr>
            <w:rFonts w:ascii="Cambria Math" w:eastAsiaTheme="minorEastAsia" w:hAnsi="Cambria Math"/>
          </w:rPr>
          <m:t>ϵ→0</m:t>
        </m:r>
      </m:oMath>
      <w:r>
        <w:rPr>
          <w:rFonts w:eastAsiaTheme="minorEastAsia"/>
        </w:rPr>
        <w:t xml:space="preserve"> for a Mendelian variant </w:t>
      </w:r>
      <w:r w:rsidR="00516AD3">
        <w:rPr>
          <w:rFonts w:eastAsiaTheme="minorEastAsia"/>
        </w:rPr>
        <w:t xml:space="preserve">(in fact slope goes to infinity) </w:t>
      </w:r>
      <w:r>
        <w:rPr>
          <w:rFonts w:eastAsiaTheme="minorEastAsia"/>
        </w:rPr>
        <w:t>but has slope 0 for a protective variant</w:t>
      </w:r>
      <w:r w:rsidR="00516AD3">
        <w:rPr>
          <w:rFonts w:eastAsiaTheme="minorEastAsia"/>
        </w:rPr>
        <w:t xml:space="preserve">. To translate, even for the rarest of variants, we’re still obtaining information </w:t>
      </w:r>
      <w:r w:rsidR="00790607">
        <w:rPr>
          <w:rFonts w:eastAsiaTheme="minorEastAsia"/>
        </w:rPr>
        <w:t>but we hardly extract information from even moderately common variant/disease combinations. This is supported by a visualization of the information zoomed in</w:t>
      </w:r>
      <w:r w:rsidR="004D6C1A">
        <w:rPr>
          <w:rFonts w:eastAsiaTheme="minorEastAsia"/>
        </w:rPr>
        <w:t xml:space="preserve"> below.</w:t>
      </w:r>
    </w:p>
    <w:p w14:paraId="6735BDD1" w14:textId="18F4006D" w:rsidR="00D8717C" w:rsidRDefault="00D8717C">
      <w:r w:rsidRPr="00D8717C">
        <w:rPr>
          <w:noProof/>
        </w:rPr>
        <w:drawing>
          <wp:inline distT="0" distB="0" distL="0" distR="0" wp14:anchorId="63C11DFA" wp14:editId="02A7EB7F">
            <wp:extent cx="4064000" cy="3048000"/>
            <wp:effectExtent l="0" t="0" r="0" b="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6"/>
                    <a:stretch>
                      <a:fillRect/>
                    </a:stretch>
                  </pic:blipFill>
                  <pic:spPr>
                    <a:xfrm>
                      <a:off x="0" y="0"/>
                      <a:ext cx="4064000" cy="3048000"/>
                    </a:xfrm>
                    <a:prstGeom prst="rect">
                      <a:avLst/>
                    </a:prstGeom>
                  </pic:spPr>
                </pic:pic>
              </a:graphicData>
            </a:graphic>
          </wp:inline>
        </w:drawing>
      </w:r>
    </w:p>
    <w:p w14:paraId="70C39B9B" w14:textId="7A780F91" w:rsidR="000177E2" w:rsidRDefault="000177E2" w:rsidP="006B07F7">
      <w:pPr>
        <w:pStyle w:val="Heading1"/>
      </w:pPr>
      <w:r>
        <w:t>Second intuition</w:t>
      </w:r>
    </w:p>
    <w:p w14:paraId="6AFA15AD" w14:textId="25400213" w:rsidR="000177E2" w:rsidRDefault="000177E2" w:rsidP="000177E2">
      <w:pPr>
        <w:rPr>
          <w:rFonts w:eastAsiaTheme="minorEastAsia"/>
        </w:rPr>
      </w:pPr>
      <w:r>
        <w:t xml:space="preserve">The way we can tell the difference between the two distributions (independent vs alternative) is by shifts of probability mass. By assumption, the prevalence of the disease is </w:t>
      </w:r>
      <m:oMath>
        <m:r>
          <w:rPr>
            <w:rFonts w:ascii="Cambria Math" w:hAnsi="Cambria Math"/>
          </w:rPr>
          <m:t>ϵ</m:t>
        </m:r>
      </m:oMath>
      <w:r w:rsidR="00104D27">
        <w:rPr>
          <w:rFonts w:eastAsiaTheme="minorEastAsia"/>
        </w:rPr>
        <w:t xml:space="preserve">. A perfectly protective mutation shifts mass mainly from people having </w:t>
      </w:r>
      <w:r w:rsidR="00DD09D8">
        <w:rPr>
          <w:rFonts w:eastAsiaTheme="minorEastAsia"/>
        </w:rPr>
        <w:t xml:space="preserve">the disease and variant to having the variant but no disease, which corresponds to moving mass from a category </w:t>
      </w:r>
      <m:oMath>
        <m:r>
          <w:rPr>
            <w:rFonts w:ascii="Cambria Math" w:eastAsiaTheme="minorEastAsia" w:hAnsi="Cambria Math"/>
          </w:rPr>
          <m:t>O(</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m:t>
        </m:r>
      </m:oMath>
      <w:r w:rsidR="00DD09D8">
        <w:rPr>
          <w:rFonts w:eastAsiaTheme="minorEastAsia"/>
        </w:rPr>
        <w:t xml:space="preserve"> </w:t>
      </w:r>
      <w:proofErr w:type="gramStart"/>
      <w:r w:rsidR="00DD09D8">
        <w:rPr>
          <w:rFonts w:eastAsiaTheme="minorEastAsia"/>
        </w:rPr>
        <w:t>un  as</w:t>
      </w:r>
      <w:proofErr w:type="gramEnd"/>
      <w:r w:rsidR="00DD09D8">
        <w:rPr>
          <w:rFonts w:eastAsiaTheme="minorEastAsia"/>
        </w:rPr>
        <w:t xml:space="preserve"> well as shifting people who have no variant and no disease to people who have no variant and have the disease.</w:t>
      </w:r>
    </w:p>
    <w:p w14:paraId="1360635C" w14:textId="73D08727" w:rsidR="00562687" w:rsidRDefault="00562687" w:rsidP="000177E2">
      <w:pPr>
        <w:rPr>
          <w:rFonts w:eastAsiaTheme="minorEastAsia"/>
        </w:rPr>
      </w:pPr>
    </w:p>
    <w:p w14:paraId="21DDCEFE" w14:textId="300B4A9F" w:rsidR="00562687" w:rsidRPr="000177E2" w:rsidRDefault="00562687" w:rsidP="00104D27">
      <w:pPr>
        <w:pStyle w:val="Heading1"/>
      </w:pPr>
      <w:r>
        <w:rPr>
          <w:rFonts w:eastAsiaTheme="minorEastAsia"/>
        </w:rPr>
        <w:lastRenderedPageBreak/>
        <w:t xml:space="preserve">Further </w:t>
      </w:r>
      <w:r w:rsidR="00104D27">
        <w:rPr>
          <w:rFonts w:eastAsiaTheme="minorEastAsia"/>
        </w:rPr>
        <w:t xml:space="preserve">ramifications – Hypothesis testing </w:t>
      </w:r>
    </w:p>
    <w:p w14:paraId="70C68E4D" w14:textId="77777777" w:rsidR="000177E2" w:rsidRDefault="000177E2" w:rsidP="006B07F7">
      <w:pPr>
        <w:pStyle w:val="Heading1"/>
      </w:pPr>
    </w:p>
    <w:p w14:paraId="5C58FEEC" w14:textId="1B358F48" w:rsidR="000072E7" w:rsidRDefault="003F1618" w:rsidP="006B07F7">
      <w:pPr>
        <w:pStyle w:val="Heading1"/>
      </w:pPr>
      <w:r>
        <w:t>Conclusions</w:t>
      </w:r>
    </w:p>
    <w:p w14:paraId="20445766" w14:textId="51D0421F" w:rsidR="003F1618" w:rsidRDefault="003F1618">
      <w:r>
        <w:t>Protective variants of rare disease exist, we’ll just never know</w:t>
      </w:r>
      <w:r w:rsidR="0019576F">
        <w:t xml:space="preserve"> without sample sizes greater than the number of atoms in the universe.</w:t>
      </w:r>
    </w:p>
    <w:sectPr w:rsidR="003F16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B1A49" w14:textId="77777777" w:rsidR="00493DB7" w:rsidRDefault="00493DB7" w:rsidP="0081269C">
      <w:pPr>
        <w:spacing w:after="0" w:line="240" w:lineRule="auto"/>
      </w:pPr>
      <w:r>
        <w:separator/>
      </w:r>
    </w:p>
  </w:endnote>
  <w:endnote w:type="continuationSeparator" w:id="0">
    <w:p w14:paraId="1CA73850" w14:textId="77777777" w:rsidR="00493DB7" w:rsidRDefault="00493DB7" w:rsidP="0081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0EF5" w14:textId="77777777" w:rsidR="00493DB7" w:rsidRDefault="00493DB7" w:rsidP="0081269C">
      <w:pPr>
        <w:spacing w:after="0" w:line="240" w:lineRule="auto"/>
      </w:pPr>
      <w:r>
        <w:separator/>
      </w:r>
    </w:p>
  </w:footnote>
  <w:footnote w:type="continuationSeparator" w:id="0">
    <w:p w14:paraId="44EF432B" w14:textId="77777777" w:rsidR="00493DB7" w:rsidRDefault="00493DB7" w:rsidP="00812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C58F" w14:textId="369EBAD7" w:rsidR="0081269C" w:rsidRDefault="0081269C">
    <w:pPr>
      <w:pStyle w:val="Header"/>
    </w:pPr>
    <w:r>
      <w:t>Protective Rare Variants of Rare Diseases are Undetectable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9C"/>
    <w:rsid w:val="000072E7"/>
    <w:rsid w:val="00011E18"/>
    <w:rsid w:val="000177E2"/>
    <w:rsid w:val="00104D27"/>
    <w:rsid w:val="0019576F"/>
    <w:rsid w:val="0024114C"/>
    <w:rsid w:val="0025773D"/>
    <w:rsid w:val="003F1618"/>
    <w:rsid w:val="00493DB7"/>
    <w:rsid w:val="0049420B"/>
    <w:rsid w:val="004B5A3B"/>
    <w:rsid w:val="004C7142"/>
    <w:rsid w:val="004D6C1A"/>
    <w:rsid w:val="00516AD3"/>
    <w:rsid w:val="00562687"/>
    <w:rsid w:val="005D6473"/>
    <w:rsid w:val="006955FB"/>
    <w:rsid w:val="006B07F7"/>
    <w:rsid w:val="006C7874"/>
    <w:rsid w:val="00790607"/>
    <w:rsid w:val="0081269C"/>
    <w:rsid w:val="009636D7"/>
    <w:rsid w:val="00B101DF"/>
    <w:rsid w:val="00D862F4"/>
    <w:rsid w:val="00D8717C"/>
    <w:rsid w:val="00DD09D8"/>
    <w:rsid w:val="00F8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854B"/>
  <w15:chartTrackingRefBased/>
  <w15:docId w15:val="{D28F79BF-4F31-4B4A-95AA-5DD95A30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69C"/>
  </w:style>
  <w:style w:type="paragraph" w:styleId="Footer">
    <w:name w:val="footer"/>
    <w:basedOn w:val="Normal"/>
    <w:link w:val="FooterChar"/>
    <w:uiPriority w:val="99"/>
    <w:unhideWhenUsed/>
    <w:rsid w:val="00812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69C"/>
  </w:style>
  <w:style w:type="table" w:styleId="TableGrid">
    <w:name w:val="Table Grid"/>
    <w:basedOn w:val="TableNormal"/>
    <w:uiPriority w:val="39"/>
    <w:rsid w:val="0000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2E7"/>
    <w:rPr>
      <w:color w:val="808080"/>
    </w:rPr>
  </w:style>
  <w:style w:type="character" w:customStyle="1" w:styleId="Heading1Char">
    <w:name w:val="Heading 1 Char"/>
    <w:basedOn w:val="DefaultParagraphFont"/>
    <w:link w:val="Heading1"/>
    <w:uiPriority w:val="9"/>
    <w:rsid w:val="006B07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Bryan Talbot</dc:creator>
  <cp:keywords/>
  <dc:description/>
  <cp:lastModifiedBy>Austin Talbot</cp:lastModifiedBy>
  <cp:revision>2</cp:revision>
  <dcterms:created xsi:type="dcterms:W3CDTF">2023-10-25T13:18:00Z</dcterms:created>
  <dcterms:modified xsi:type="dcterms:W3CDTF">2023-10-25T13:18:00Z</dcterms:modified>
</cp:coreProperties>
</file>